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6C9D" w14:textId="71648784" w:rsidR="00E8545D" w:rsidRDefault="00E8545D" w:rsidP="007D24A3">
      <w:pPr>
        <w:pStyle w:val="Kopfzeile"/>
        <w:tabs>
          <w:tab w:val="clear" w:pos="4536"/>
          <w:tab w:val="clear" w:pos="9072"/>
        </w:tabs>
        <w:jc w:val="right"/>
      </w:pPr>
      <w:r>
        <w:t xml:space="preserve">Stand: </w:t>
      </w:r>
      <w:r w:rsidR="00B056AE">
        <w:t xml:space="preserve">Mai </w:t>
      </w:r>
      <w:r w:rsidR="00580A27">
        <w:t>2022</w:t>
      </w:r>
    </w:p>
    <w:p w14:paraId="350CF570" w14:textId="77777777" w:rsidR="00AE7827" w:rsidRPr="007D24A3" w:rsidRDefault="00AE7827" w:rsidP="00AE7827">
      <w:pPr>
        <w:jc w:val="center"/>
        <w:rPr>
          <w:b/>
          <w:i/>
        </w:rPr>
      </w:pPr>
      <w:r w:rsidRPr="007D24A3">
        <w:rPr>
          <w:b/>
          <w:i/>
        </w:rPr>
        <w:t>M U S T E R</w:t>
      </w:r>
    </w:p>
    <w:p w14:paraId="4D308867" w14:textId="70A613F3" w:rsidR="00411BBD" w:rsidRDefault="00411BBD" w:rsidP="007D24A3">
      <w:pPr>
        <w:spacing w:after="120"/>
        <w:jc w:val="center"/>
      </w:pPr>
      <w:r>
        <w:t>GmbH-</w:t>
      </w:r>
      <w:r w:rsidR="00AE7827">
        <w:t>Gesellschaftsvertrag</w:t>
      </w:r>
    </w:p>
    <w:p w14:paraId="59EDB288" w14:textId="25729012" w:rsidR="00411BBD" w:rsidRDefault="00AE7827" w:rsidP="007D24A3">
      <w:pPr>
        <w:spacing w:after="120"/>
        <w:jc w:val="center"/>
      </w:pPr>
      <w:r>
        <w:t xml:space="preserve">für </w:t>
      </w:r>
      <w:r w:rsidR="00411BBD">
        <w:t>eine nach dem St</w:t>
      </w:r>
      <w:r w:rsidR="007D24A3">
        <w:t xml:space="preserve">euerberatungsgesetz (StBerG) </w:t>
      </w:r>
      <w:r w:rsidR="00411BBD">
        <w:t>anerkannte</w:t>
      </w:r>
    </w:p>
    <w:p w14:paraId="0EE6E074" w14:textId="77777777" w:rsidR="00411BBD" w:rsidRDefault="00977289" w:rsidP="007D24A3">
      <w:pPr>
        <w:spacing w:after="120"/>
        <w:jc w:val="center"/>
      </w:pPr>
      <w:r>
        <w:t xml:space="preserve">Berufsausübungsgesellschaft </w:t>
      </w:r>
      <w:r w:rsidR="00411BBD">
        <w:t>(nachfolgend: „Gesellschaft“)</w:t>
      </w:r>
    </w:p>
    <w:p w14:paraId="4A3D7BD6" w14:textId="77777777" w:rsidR="00AE7827" w:rsidRDefault="00AE7827" w:rsidP="00AE7827">
      <w:pPr>
        <w:jc w:val="center"/>
      </w:pPr>
    </w:p>
    <w:p w14:paraId="0CD79FD2" w14:textId="77777777" w:rsidR="007D24A3" w:rsidRDefault="00F06A90" w:rsidP="00634C70">
      <w:r w:rsidRPr="00634C70">
        <w:rPr>
          <w:b/>
          <w:sz w:val="28"/>
          <w:szCs w:val="28"/>
        </w:rPr>
        <w:t>Hinweis:</w:t>
      </w:r>
    </w:p>
    <w:p w14:paraId="36F6FA00" w14:textId="1E9CBAE3" w:rsidR="007D24A3" w:rsidRDefault="00F06A90" w:rsidP="00634C70">
      <w:pPr>
        <w:rPr>
          <w:sz w:val="28"/>
          <w:szCs w:val="28"/>
        </w:rPr>
      </w:pPr>
      <w:r w:rsidRPr="007D24A3">
        <w:rPr>
          <w:sz w:val="28"/>
          <w:szCs w:val="28"/>
          <w:u w:val="single"/>
        </w:rPr>
        <w:t>Nachfolgende</w:t>
      </w:r>
      <w:r w:rsidR="009B4DB1">
        <w:rPr>
          <w:sz w:val="28"/>
          <w:szCs w:val="28"/>
          <w:u w:val="single"/>
        </w:rPr>
        <w:t>r</w:t>
      </w:r>
      <w:r w:rsidRPr="007D24A3">
        <w:rPr>
          <w:sz w:val="28"/>
          <w:szCs w:val="28"/>
          <w:u w:val="single"/>
        </w:rPr>
        <w:t xml:space="preserve"> </w:t>
      </w:r>
      <w:r w:rsidR="009B4DB1">
        <w:rPr>
          <w:sz w:val="28"/>
          <w:szCs w:val="28"/>
          <w:u w:val="single"/>
        </w:rPr>
        <w:t>Musterv</w:t>
      </w:r>
      <w:r w:rsidRPr="007D24A3">
        <w:rPr>
          <w:sz w:val="28"/>
          <w:szCs w:val="28"/>
          <w:u w:val="single"/>
        </w:rPr>
        <w:t>ertrag</w:t>
      </w:r>
      <w:r w:rsidRPr="00634C70">
        <w:rPr>
          <w:sz w:val="28"/>
          <w:szCs w:val="28"/>
        </w:rPr>
        <w:t xml:space="preserve"> </w:t>
      </w:r>
      <w:r w:rsidR="00634C70" w:rsidRPr="00634C70">
        <w:rPr>
          <w:sz w:val="28"/>
          <w:szCs w:val="28"/>
        </w:rPr>
        <w:t xml:space="preserve">für eine GmbH-Satzung </w:t>
      </w:r>
      <w:r w:rsidRPr="00634C70">
        <w:rPr>
          <w:sz w:val="28"/>
          <w:szCs w:val="28"/>
        </w:rPr>
        <w:t>dient der beispielhafte</w:t>
      </w:r>
      <w:r w:rsidR="00634C70" w:rsidRPr="00634C70">
        <w:rPr>
          <w:sz w:val="28"/>
          <w:szCs w:val="28"/>
        </w:rPr>
        <w:t>n Umsetzung der Vorgaben des St</w:t>
      </w:r>
      <w:r w:rsidRPr="00634C70">
        <w:rPr>
          <w:sz w:val="28"/>
          <w:szCs w:val="28"/>
        </w:rPr>
        <w:t>euerb</w:t>
      </w:r>
      <w:r w:rsidR="00634C70" w:rsidRPr="00634C70">
        <w:rPr>
          <w:sz w:val="28"/>
          <w:szCs w:val="28"/>
        </w:rPr>
        <w:t>er</w:t>
      </w:r>
      <w:r w:rsidRPr="00634C70">
        <w:rPr>
          <w:sz w:val="28"/>
          <w:szCs w:val="28"/>
        </w:rPr>
        <w:t>atungs</w:t>
      </w:r>
      <w:r w:rsidR="00634C70" w:rsidRPr="00634C70">
        <w:rPr>
          <w:sz w:val="28"/>
          <w:szCs w:val="28"/>
        </w:rPr>
        <w:t xml:space="preserve">gesetzes </w:t>
      </w:r>
      <w:r w:rsidR="009B4DB1">
        <w:rPr>
          <w:sz w:val="28"/>
          <w:szCs w:val="28"/>
        </w:rPr>
        <w:t xml:space="preserve">(Stand 1. August 2022) </w:t>
      </w:r>
      <w:r w:rsidR="00634C70" w:rsidRPr="00634C70">
        <w:rPr>
          <w:sz w:val="28"/>
          <w:szCs w:val="28"/>
        </w:rPr>
        <w:t>an eine Berufsausübungsgesellschaft in der Rechtsform einer GmbH</w:t>
      </w:r>
      <w:r w:rsidR="00634C70">
        <w:rPr>
          <w:sz w:val="28"/>
          <w:szCs w:val="28"/>
        </w:rPr>
        <w:t xml:space="preserve"> und </w:t>
      </w:r>
      <w:r w:rsidR="00634C70" w:rsidRPr="007D24A3">
        <w:rPr>
          <w:sz w:val="28"/>
          <w:szCs w:val="28"/>
          <w:u w:val="single"/>
        </w:rPr>
        <w:t>ist kein vollständiger Vertragsentwurf</w:t>
      </w:r>
      <w:r w:rsidR="00634C70" w:rsidRPr="00634C70">
        <w:rPr>
          <w:sz w:val="28"/>
          <w:szCs w:val="28"/>
        </w:rPr>
        <w:t xml:space="preserve">; </w:t>
      </w:r>
      <w:r w:rsidR="007D24A3">
        <w:rPr>
          <w:sz w:val="28"/>
          <w:szCs w:val="28"/>
        </w:rPr>
        <w:t xml:space="preserve">deshalb sind teilweise auch optionale Formulierungen enthalten. </w:t>
      </w:r>
    </w:p>
    <w:p w14:paraId="05D40065" w14:textId="2E584CE9" w:rsidR="00F06A90" w:rsidRPr="00634C70" w:rsidRDefault="007D24A3" w:rsidP="00F3517A">
      <w:pPr>
        <w:spacing w:after="480"/>
        <w:rPr>
          <w:sz w:val="28"/>
          <w:szCs w:val="28"/>
        </w:rPr>
      </w:pPr>
      <w:r>
        <w:rPr>
          <w:sz w:val="28"/>
          <w:szCs w:val="28"/>
        </w:rPr>
        <w:t>V</w:t>
      </w:r>
      <w:r w:rsidR="00634C70" w:rsidRPr="00634C70">
        <w:rPr>
          <w:sz w:val="28"/>
          <w:szCs w:val="28"/>
        </w:rPr>
        <w:t xml:space="preserve">or einer rechtsverbindlichen Vereinbarung </w:t>
      </w:r>
      <w:r w:rsidR="00634C70">
        <w:rPr>
          <w:sz w:val="28"/>
          <w:szCs w:val="28"/>
        </w:rPr>
        <w:t>der</w:t>
      </w:r>
      <w:r w:rsidR="00634C70" w:rsidRPr="00634C70">
        <w:rPr>
          <w:sz w:val="28"/>
          <w:szCs w:val="28"/>
        </w:rPr>
        <w:t xml:space="preserve"> GmbH-Satzung bedarf es </w:t>
      </w:r>
      <w:r w:rsidR="00F3517A">
        <w:rPr>
          <w:sz w:val="28"/>
          <w:szCs w:val="28"/>
        </w:rPr>
        <w:br/>
      </w:r>
      <w:r w:rsidR="00634C70" w:rsidRPr="00634C70">
        <w:rPr>
          <w:sz w:val="28"/>
          <w:szCs w:val="28"/>
        </w:rPr>
        <w:t xml:space="preserve">einer Beratung oder sonstigen verantwortlichen Entscheidung über deren Ausgestaltung anhand des konkreten Einzelfalls und der </w:t>
      </w:r>
      <w:r w:rsidR="00634C70">
        <w:rPr>
          <w:sz w:val="28"/>
          <w:szCs w:val="28"/>
        </w:rPr>
        <w:t xml:space="preserve">dann </w:t>
      </w:r>
      <w:r w:rsidR="00634C70" w:rsidRPr="00634C70">
        <w:rPr>
          <w:sz w:val="28"/>
          <w:szCs w:val="28"/>
        </w:rPr>
        <w:t xml:space="preserve">aktuellen rechtlichen Vorgaben – insbesondere </w:t>
      </w:r>
      <w:r w:rsidR="00634C70">
        <w:rPr>
          <w:sz w:val="28"/>
          <w:szCs w:val="28"/>
        </w:rPr>
        <w:t xml:space="preserve">auch </w:t>
      </w:r>
      <w:r w:rsidR="00634C70" w:rsidRPr="00634C70">
        <w:rPr>
          <w:sz w:val="28"/>
          <w:szCs w:val="28"/>
        </w:rPr>
        <w:t>des Gesellschaftsrechtes.</w:t>
      </w:r>
    </w:p>
    <w:p w14:paraId="17A1E0DB" w14:textId="77777777" w:rsidR="00AE7827" w:rsidRDefault="00AE7827" w:rsidP="00F3517A">
      <w:pPr>
        <w:spacing w:after="0" w:line="240" w:lineRule="auto"/>
        <w:jc w:val="center"/>
        <w:rPr>
          <w:b/>
        </w:rPr>
      </w:pPr>
      <w:r>
        <w:rPr>
          <w:b/>
        </w:rPr>
        <w:t>§ 1</w:t>
      </w:r>
    </w:p>
    <w:p w14:paraId="383BF884" w14:textId="64823854" w:rsidR="00AE7827" w:rsidRDefault="00AE7827" w:rsidP="00F3517A">
      <w:pPr>
        <w:spacing w:after="0" w:line="240" w:lineRule="auto"/>
        <w:jc w:val="center"/>
        <w:rPr>
          <w:b/>
        </w:rPr>
      </w:pPr>
      <w:r>
        <w:rPr>
          <w:b/>
        </w:rPr>
        <w:t>Firma und Sitz</w:t>
      </w:r>
    </w:p>
    <w:p w14:paraId="72B7DADC" w14:textId="77777777" w:rsidR="00F3517A" w:rsidRDefault="00F3517A" w:rsidP="00F3517A">
      <w:pPr>
        <w:spacing w:after="0" w:line="360" w:lineRule="auto"/>
        <w:jc w:val="center"/>
      </w:pPr>
    </w:p>
    <w:p w14:paraId="6FB9BA50" w14:textId="1B647C45" w:rsidR="00AE7827" w:rsidRDefault="00AE7827" w:rsidP="00F3517A">
      <w:pPr>
        <w:numPr>
          <w:ilvl w:val="0"/>
          <w:numId w:val="8"/>
        </w:numPr>
        <w:spacing w:after="0" w:line="360" w:lineRule="auto"/>
        <w:ind w:left="425" w:hanging="425"/>
      </w:pPr>
      <w:r>
        <w:t>Die Firma der Gesellschaft lautet:</w:t>
      </w:r>
    </w:p>
    <w:p w14:paraId="432D9183" w14:textId="77777777" w:rsidR="00AE7827" w:rsidRDefault="00AE7827" w:rsidP="00F3517A">
      <w:pPr>
        <w:spacing w:after="0" w:line="360" w:lineRule="auto"/>
      </w:pPr>
    </w:p>
    <w:p w14:paraId="46343192" w14:textId="4B257F59" w:rsidR="00AE7827" w:rsidRDefault="00AE7827" w:rsidP="00F3517A">
      <w:pPr>
        <w:spacing w:after="0" w:line="360" w:lineRule="auto"/>
        <w:ind w:left="426"/>
      </w:pPr>
      <w:r>
        <w:t>.......................................................</w:t>
      </w:r>
      <w:r w:rsidR="007D24A3">
        <w:t>GmbH</w:t>
      </w:r>
      <w:r>
        <w:t xml:space="preserve"> </w:t>
      </w:r>
      <w:r w:rsidR="00231048" w:rsidRPr="00577F27">
        <w:rPr>
          <w:b/>
          <w:i/>
        </w:rPr>
        <w:t>Optional</w:t>
      </w:r>
      <w:r w:rsidR="000564A6" w:rsidRPr="00577F27">
        <w:rPr>
          <w:b/>
          <w:i/>
        </w:rPr>
        <w:t>e Ergänzung</w:t>
      </w:r>
      <w:r w:rsidR="00231048" w:rsidRPr="00577F27">
        <w:rPr>
          <w:b/>
          <w:i/>
        </w:rPr>
        <w:t>:</w:t>
      </w:r>
      <w:r w:rsidR="00A24E22">
        <w:rPr>
          <w:i/>
        </w:rPr>
        <w:t xml:space="preserve"> </w:t>
      </w:r>
      <w:r w:rsidR="00977289" w:rsidRPr="00614B47">
        <w:rPr>
          <w:i/>
        </w:rPr>
        <w:t>Berufsausübungsgesellschaft</w:t>
      </w:r>
      <w:r w:rsidR="006425CF">
        <w:t>/</w:t>
      </w:r>
      <w:r w:rsidR="000564A6">
        <w:rPr>
          <w:i/>
        </w:rPr>
        <w:t>Steuerberatungsgesellschaft</w:t>
      </w:r>
      <w:r w:rsidR="006425CF">
        <w:rPr>
          <w:rStyle w:val="Funotenzeichen"/>
          <w:i/>
        </w:rPr>
        <w:footnoteReference w:id="1"/>
      </w:r>
      <w:r w:rsidR="000564A6">
        <w:rPr>
          <w:i/>
        </w:rPr>
        <w:t xml:space="preserve"> </w:t>
      </w:r>
      <w:r>
        <w:t>.</w:t>
      </w:r>
    </w:p>
    <w:p w14:paraId="5B5E85DB" w14:textId="77777777" w:rsidR="00AE7827" w:rsidRDefault="00AE7827" w:rsidP="00F3517A">
      <w:pPr>
        <w:spacing w:after="0" w:line="360" w:lineRule="auto"/>
      </w:pPr>
    </w:p>
    <w:p w14:paraId="5441F7E7" w14:textId="26D83DD3" w:rsidR="00E159E3" w:rsidRDefault="00AE7827" w:rsidP="00F3517A">
      <w:pPr>
        <w:numPr>
          <w:ilvl w:val="0"/>
          <w:numId w:val="8"/>
        </w:numPr>
        <w:spacing w:after="0" w:line="360" w:lineRule="auto"/>
        <w:ind w:left="426" w:hanging="426"/>
      </w:pPr>
      <w:r>
        <w:t xml:space="preserve">Der </w:t>
      </w:r>
      <w:r w:rsidR="00D04CF6">
        <w:t>S</w:t>
      </w:r>
      <w:r>
        <w:t>itz der Gesellschaft ist ........................................................................</w:t>
      </w:r>
    </w:p>
    <w:p w14:paraId="7F97ADCF" w14:textId="77777777" w:rsidR="00AE7827" w:rsidRDefault="00AE7827" w:rsidP="00F3517A">
      <w:pPr>
        <w:spacing w:after="0" w:line="360" w:lineRule="auto"/>
      </w:pPr>
    </w:p>
    <w:p w14:paraId="44D3E8B6" w14:textId="77777777" w:rsidR="00F3517A" w:rsidRDefault="00F3517A">
      <w:pPr>
        <w:spacing w:after="0" w:line="240" w:lineRule="auto"/>
        <w:rPr>
          <w:b/>
        </w:rPr>
      </w:pPr>
      <w:r>
        <w:rPr>
          <w:b/>
        </w:rPr>
        <w:br w:type="page"/>
      </w:r>
    </w:p>
    <w:p w14:paraId="2A943586" w14:textId="7893453B" w:rsidR="00AE7827" w:rsidRDefault="00AE7827" w:rsidP="00F3517A">
      <w:pPr>
        <w:spacing w:after="0" w:line="240" w:lineRule="auto"/>
        <w:jc w:val="center"/>
        <w:rPr>
          <w:b/>
        </w:rPr>
      </w:pPr>
      <w:r>
        <w:rPr>
          <w:b/>
        </w:rPr>
        <w:lastRenderedPageBreak/>
        <w:t>§ 2</w:t>
      </w:r>
    </w:p>
    <w:p w14:paraId="12D60D6F" w14:textId="35EDA7CB" w:rsidR="00AE7827" w:rsidRDefault="00AE7827" w:rsidP="00F3517A">
      <w:pPr>
        <w:pStyle w:val="berschrift1"/>
        <w:spacing w:after="0" w:line="240" w:lineRule="auto"/>
      </w:pPr>
      <w:r>
        <w:t>Gegenstand de</w:t>
      </w:r>
      <w:r w:rsidR="004D0A46">
        <w:t>r Gesellschaft</w:t>
      </w:r>
    </w:p>
    <w:p w14:paraId="794AE904" w14:textId="77777777" w:rsidR="00F3517A" w:rsidRPr="00F3517A" w:rsidRDefault="00F3517A" w:rsidP="00F3517A">
      <w:pPr>
        <w:spacing w:after="0" w:line="360" w:lineRule="auto"/>
      </w:pPr>
    </w:p>
    <w:p w14:paraId="1652FDEA" w14:textId="54C16005" w:rsidR="00AD1199" w:rsidRPr="00AD1199" w:rsidRDefault="00AE7827" w:rsidP="00F3517A">
      <w:pPr>
        <w:numPr>
          <w:ilvl w:val="0"/>
          <w:numId w:val="10"/>
        </w:numPr>
        <w:spacing w:after="0" w:line="360" w:lineRule="auto"/>
        <w:ind w:left="425" w:hanging="425"/>
      </w:pPr>
      <w:r>
        <w:t>Gegenstand de</w:t>
      </w:r>
      <w:r w:rsidR="004D0A46">
        <w:t>r</w:t>
      </w:r>
      <w:r>
        <w:t xml:space="preserve"> </w:t>
      </w:r>
      <w:r w:rsidR="004D0A46">
        <w:t>Gesellschaft</w:t>
      </w:r>
      <w:r>
        <w:t xml:space="preserve"> </w:t>
      </w:r>
      <w:r w:rsidR="00DF0667">
        <w:t xml:space="preserve">sind </w:t>
      </w:r>
      <w:r>
        <w:t>die geschäftsmäßige Hilfeleistung in Steuersachen</w:t>
      </w:r>
      <w:r w:rsidR="00411BBD">
        <w:t xml:space="preserve"> und </w:t>
      </w:r>
      <w:r w:rsidR="00DF0667">
        <w:t>die</w:t>
      </w:r>
      <w:r>
        <w:t xml:space="preserve"> </w:t>
      </w:r>
      <w:r w:rsidR="00E23D22">
        <w:t>nach dem Berufsrecht der Steuerberater</w:t>
      </w:r>
      <w:r w:rsidR="00457146">
        <w:t xml:space="preserve"> </w:t>
      </w:r>
      <w:r>
        <w:t>vereinbare</w:t>
      </w:r>
      <w:r w:rsidR="00DF0667">
        <w:t>n</w:t>
      </w:r>
      <w:r>
        <w:t xml:space="preserve"> Tätigkeiten</w:t>
      </w:r>
      <w:r w:rsidR="00411BBD">
        <w:t>.</w:t>
      </w:r>
      <w:r w:rsidR="00F06A90">
        <w:br/>
      </w:r>
    </w:p>
    <w:p w14:paraId="38CE04D6" w14:textId="6068EAFB" w:rsidR="00AE7827" w:rsidRDefault="00411BBD" w:rsidP="00FA5E86">
      <w:pPr>
        <w:spacing w:after="0" w:line="360" w:lineRule="auto"/>
        <w:ind w:left="425"/>
      </w:pPr>
      <w:r w:rsidRPr="009B4DB1">
        <w:rPr>
          <w:b/>
          <w:i/>
        </w:rPr>
        <w:t>Optional:</w:t>
      </w:r>
      <w:r w:rsidR="00FA5E86">
        <w:rPr>
          <w:b/>
          <w:i/>
        </w:rPr>
        <w:t xml:space="preserve"> </w:t>
      </w:r>
      <w:r w:rsidRPr="00614B47">
        <w:rPr>
          <w:i/>
        </w:rPr>
        <w:t xml:space="preserve">Weiterer </w:t>
      </w:r>
      <w:r w:rsidR="003A7E7F">
        <w:rPr>
          <w:i/>
        </w:rPr>
        <w:t>Gesellschafts</w:t>
      </w:r>
      <w:r w:rsidRPr="00614B47">
        <w:rPr>
          <w:i/>
        </w:rPr>
        <w:t>gegenstand ist</w:t>
      </w:r>
      <w:r w:rsidR="00977289" w:rsidRPr="00614B47">
        <w:rPr>
          <w:i/>
        </w:rPr>
        <w:t xml:space="preserve"> die Ausübung des </w:t>
      </w:r>
      <w:r w:rsidR="00F3517A">
        <w:rPr>
          <w:i/>
        </w:rPr>
        <w:t>F</w:t>
      </w:r>
      <w:r w:rsidR="003743F9" w:rsidRPr="00614B47">
        <w:rPr>
          <w:i/>
        </w:rPr>
        <w:t xml:space="preserve">reien Berufes der </w:t>
      </w:r>
      <w:r w:rsidRPr="00614B47">
        <w:rPr>
          <w:i/>
        </w:rPr>
        <w:t>……………</w:t>
      </w:r>
      <w:r w:rsidR="003743F9" w:rsidRPr="00614B47">
        <w:rPr>
          <w:i/>
        </w:rPr>
        <w:t xml:space="preserve">, </w:t>
      </w:r>
      <w:r w:rsidR="00DF71F4" w:rsidRPr="00614B47">
        <w:rPr>
          <w:i/>
        </w:rPr>
        <w:t>soweit A</w:t>
      </w:r>
      <w:r w:rsidR="003743F9" w:rsidRPr="00614B47">
        <w:rPr>
          <w:i/>
        </w:rPr>
        <w:t xml:space="preserve">ngehörige desselben </w:t>
      </w:r>
      <w:r w:rsidR="00DF71F4" w:rsidRPr="00614B47">
        <w:rPr>
          <w:i/>
        </w:rPr>
        <w:t>sich nach dem Berufsrecht der Steuerberater mit Steuerberatern oder Steuerbevollmächtigten in einer Berufsausübungsgesellschaft verbinden dürfen.</w:t>
      </w:r>
      <w:r w:rsidR="0035497A">
        <w:rPr>
          <w:rStyle w:val="Funotenzeichen"/>
          <w:i/>
        </w:rPr>
        <w:footnoteReference w:id="2"/>
      </w:r>
    </w:p>
    <w:p w14:paraId="009B335E" w14:textId="77777777" w:rsidR="00F3517A" w:rsidRDefault="00F3517A" w:rsidP="00F3517A">
      <w:pPr>
        <w:spacing w:after="0" w:line="360" w:lineRule="auto"/>
        <w:ind w:left="1417" w:hanging="992"/>
      </w:pPr>
    </w:p>
    <w:p w14:paraId="529C5158" w14:textId="347E6A46" w:rsidR="00AE7827" w:rsidRDefault="00E23D22" w:rsidP="00F3517A">
      <w:pPr>
        <w:numPr>
          <w:ilvl w:val="0"/>
          <w:numId w:val="10"/>
        </w:numPr>
        <w:spacing w:after="0" w:line="360" w:lineRule="auto"/>
        <w:ind w:left="426" w:hanging="426"/>
      </w:pPr>
      <w:r w:rsidRPr="00E23D22">
        <w:t xml:space="preserve">Die Gesellschaft schafft die </w:t>
      </w:r>
      <w:r w:rsidR="00464BD1">
        <w:t xml:space="preserve">für den </w:t>
      </w:r>
      <w:r w:rsidR="003A7E7F">
        <w:t>Gesellschafts</w:t>
      </w:r>
      <w:r w:rsidR="00464BD1">
        <w:t xml:space="preserve">gegenstand nach Abs. 1 </w:t>
      </w:r>
      <w:r w:rsidRPr="00E23D22">
        <w:t>erforderlichen personellen, sachlichen und räumlichen Voraussetzungen und tätigt die damit verbundenen Geschäfte</w:t>
      </w:r>
      <w:r>
        <w:t xml:space="preserve">. </w:t>
      </w:r>
      <w:r w:rsidR="00464BD1">
        <w:t xml:space="preserve">Unvereinbare Tätigkeiten nach dem Berufsrecht der </w:t>
      </w:r>
      <w:r w:rsidR="00AE7827">
        <w:t xml:space="preserve">Steuerberater </w:t>
      </w:r>
      <w:r w:rsidR="00AD1199" w:rsidRPr="004A61C6">
        <w:rPr>
          <w:b/>
          <w:i/>
        </w:rPr>
        <w:t>Optional:</w:t>
      </w:r>
      <w:r w:rsidR="00AD1199">
        <w:t xml:space="preserve"> </w:t>
      </w:r>
      <w:r w:rsidR="004D0A46">
        <w:rPr>
          <w:i/>
        </w:rPr>
        <w:t>oder</w:t>
      </w:r>
      <w:r w:rsidR="004D0A46" w:rsidRPr="00464BD1">
        <w:rPr>
          <w:i/>
        </w:rPr>
        <w:t xml:space="preserve"> </w:t>
      </w:r>
      <w:r w:rsidR="00464BD1" w:rsidRPr="00464BD1">
        <w:rPr>
          <w:i/>
        </w:rPr>
        <w:t>weiterer von der Gesellschaft ausgeübter Berufe</w:t>
      </w:r>
      <w:r w:rsidR="009F02DB">
        <w:rPr>
          <w:i/>
        </w:rPr>
        <w:t xml:space="preserve"> </w:t>
      </w:r>
      <w:r w:rsidR="00464BD1">
        <w:t xml:space="preserve">sind </w:t>
      </w:r>
      <w:r w:rsidR="00A87378">
        <w:t>ihr nicht gestattet</w:t>
      </w:r>
      <w:r w:rsidR="00AE7827">
        <w:t>.</w:t>
      </w:r>
    </w:p>
    <w:p w14:paraId="70BFE208" w14:textId="77777777" w:rsidR="00F3517A" w:rsidRDefault="00F3517A" w:rsidP="00F3517A">
      <w:pPr>
        <w:spacing w:after="0" w:line="360" w:lineRule="auto"/>
        <w:ind w:left="426"/>
      </w:pPr>
    </w:p>
    <w:p w14:paraId="51E9815F" w14:textId="684DEDCD" w:rsidR="003B52E2" w:rsidRDefault="003B52E2" w:rsidP="00F3517A">
      <w:pPr>
        <w:numPr>
          <w:ilvl w:val="0"/>
          <w:numId w:val="10"/>
        </w:numPr>
        <w:spacing w:after="0" w:line="360" w:lineRule="auto"/>
        <w:ind w:left="426" w:hanging="426"/>
      </w:pPr>
      <w:r>
        <w:t xml:space="preserve">Die Gesellschaft darf Ge- und Verboten des </w:t>
      </w:r>
      <w:r w:rsidR="004D0A46">
        <w:t>auf ihren Gegenstand nach Abs</w:t>
      </w:r>
      <w:r w:rsidR="00F3517A">
        <w:t>.</w:t>
      </w:r>
      <w:r w:rsidR="004D0A46">
        <w:t xml:space="preserve"> 2 </w:t>
      </w:r>
      <w:r w:rsidR="00ED581E">
        <w:t>anzuwendenden</w:t>
      </w:r>
      <w:r>
        <w:t xml:space="preserve"> Berufsrechts </w:t>
      </w:r>
      <w:r w:rsidR="004D0A46" w:rsidRPr="004A61C6">
        <w:rPr>
          <w:b/>
          <w:i/>
        </w:rPr>
        <w:t>Optional:</w:t>
      </w:r>
      <w:r w:rsidR="004D0A46" w:rsidRPr="00F3517A">
        <w:rPr>
          <w:i/>
        </w:rPr>
        <w:t xml:space="preserve"> de</w:t>
      </w:r>
      <w:r w:rsidR="004D0A46">
        <w:rPr>
          <w:i/>
        </w:rPr>
        <w:t>r</w:t>
      </w:r>
      <w:r w:rsidR="004D0A46" w:rsidRPr="00F3517A">
        <w:rPr>
          <w:i/>
        </w:rPr>
        <w:t xml:space="preserve"> auf ihren Gegenstand nach Abs</w:t>
      </w:r>
      <w:r w:rsidR="00F3517A">
        <w:rPr>
          <w:i/>
        </w:rPr>
        <w:t>.</w:t>
      </w:r>
      <w:r w:rsidR="004D0A46" w:rsidRPr="00F3517A">
        <w:rPr>
          <w:i/>
        </w:rPr>
        <w:t xml:space="preserve"> 2</w:t>
      </w:r>
      <w:r w:rsidR="00F3517A">
        <w:rPr>
          <w:i/>
        </w:rPr>
        <w:t xml:space="preserve"> </w:t>
      </w:r>
      <w:r w:rsidR="004D0A46" w:rsidRPr="00F3517A">
        <w:rPr>
          <w:i/>
        </w:rPr>
        <w:t>anzuwendenden Berufsrecht</w:t>
      </w:r>
      <w:r w:rsidR="004D0A46">
        <w:rPr>
          <w:i/>
        </w:rPr>
        <w:t>e</w:t>
      </w:r>
      <w:r w:rsidR="004D0A46">
        <w:t xml:space="preserve"> (nachfolgend auch: anzuwendendes Berufsrecht)</w:t>
      </w:r>
      <w:r w:rsidR="004D0A46">
        <w:rPr>
          <w:rStyle w:val="Funotenzeichen"/>
        </w:rPr>
        <w:footnoteReference w:id="3"/>
      </w:r>
      <w:r w:rsidR="004D0A46">
        <w:t xml:space="preserve"> </w:t>
      </w:r>
      <w:r>
        <w:t xml:space="preserve">nicht zuwiderhandeln. Die Gesellschaft darf die für sie tätigen Angehörigen </w:t>
      </w:r>
      <w:r w:rsidR="00A87378">
        <w:t xml:space="preserve">der von ihr ausgeübten Berufe </w:t>
      </w:r>
      <w:r>
        <w:t>in der Freiheit ihrer Berufsausübung nicht beeinträchtigen.</w:t>
      </w:r>
    </w:p>
    <w:p w14:paraId="10A8CADC" w14:textId="77777777" w:rsidR="00F3517A" w:rsidRDefault="00F3517A" w:rsidP="00F3517A">
      <w:pPr>
        <w:spacing w:after="0" w:line="360" w:lineRule="auto"/>
        <w:ind w:left="426"/>
      </w:pPr>
    </w:p>
    <w:p w14:paraId="012CC417" w14:textId="7C487E5A" w:rsidR="00F3517A" w:rsidRDefault="00ED581E" w:rsidP="00F3517A">
      <w:pPr>
        <w:numPr>
          <w:ilvl w:val="0"/>
          <w:numId w:val="10"/>
        </w:numPr>
        <w:spacing w:after="0" w:line="360" w:lineRule="auto"/>
        <w:ind w:left="426" w:hanging="426"/>
      </w:pPr>
      <w:r>
        <w:t xml:space="preserve">Die Gesellschaft hat an ihrem </w:t>
      </w:r>
      <w:r w:rsidR="00D04CF6">
        <w:t xml:space="preserve">in § 1 Abs. 2 genannten </w:t>
      </w:r>
      <w:r>
        <w:t xml:space="preserve">Sitz </w:t>
      </w:r>
      <w:r w:rsidR="00550BA5">
        <w:t xml:space="preserve">eine </w:t>
      </w:r>
      <w:r w:rsidR="00DF71F4">
        <w:t xml:space="preserve">berufliche Niederlassung </w:t>
      </w:r>
      <w:r>
        <w:t>zu unterhalten. Die Vorgaben</w:t>
      </w:r>
      <w:r w:rsidR="005B664E">
        <w:t xml:space="preserve"> des anzuwendenden Berufsrechts sind zu erfüllen; insbesondere ha</w:t>
      </w:r>
      <w:r w:rsidR="00F3517A">
        <w:t>t</w:t>
      </w:r>
      <w:r>
        <w:t xml:space="preserve"> </w:t>
      </w:r>
      <w:r w:rsidR="00DF71F4">
        <w:t xml:space="preserve">zumindest ein geschäftsführender Steuerberater oder Steuerbevollmächtigter </w:t>
      </w:r>
      <w:r>
        <w:t xml:space="preserve">in der </w:t>
      </w:r>
      <w:r w:rsidR="005B664E">
        <w:t xml:space="preserve">beruflichen Niederlassung </w:t>
      </w:r>
      <w:r>
        <w:t xml:space="preserve">oder in deren Nahbereich tätig </w:t>
      </w:r>
      <w:r w:rsidR="005B664E">
        <w:t>zu sein</w:t>
      </w:r>
      <w:r>
        <w:t>.</w:t>
      </w:r>
      <w:r w:rsidR="0035497A">
        <w:rPr>
          <w:rStyle w:val="Funotenzeichen"/>
        </w:rPr>
        <w:footnoteReference w:id="4"/>
      </w:r>
    </w:p>
    <w:p w14:paraId="1C0CCCFD" w14:textId="77777777" w:rsidR="00F54A81" w:rsidRDefault="00F54A81" w:rsidP="00F3517A">
      <w:pPr>
        <w:spacing w:after="0" w:line="360" w:lineRule="auto"/>
        <w:ind w:left="426"/>
      </w:pPr>
    </w:p>
    <w:p w14:paraId="3EB235CC" w14:textId="03ABCBA9" w:rsidR="00ED581E" w:rsidRDefault="00F54A81" w:rsidP="00F54A81">
      <w:pPr>
        <w:spacing w:after="0" w:line="360" w:lineRule="auto"/>
        <w:ind w:left="425" w:hanging="425"/>
      </w:pPr>
      <w:r>
        <w:lastRenderedPageBreak/>
        <w:t>(5)</w:t>
      </w:r>
      <w:r>
        <w:tab/>
      </w:r>
      <w:r w:rsidR="00ED581E">
        <w:t xml:space="preserve">Die Gesellschaft darf </w:t>
      </w:r>
      <w:r w:rsidR="001A4D6E">
        <w:t xml:space="preserve">insbesondere </w:t>
      </w:r>
      <w:r w:rsidR="00B01CB7">
        <w:t xml:space="preserve">weitere Beratungsstellen </w:t>
      </w:r>
      <w:r w:rsidR="001A4D6E">
        <w:t xml:space="preserve">im Sinne von § 34 Abs. 2 StBerG </w:t>
      </w:r>
      <w:r w:rsidR="00ED581E">
        <w:t xml:space="preserve">errichten, </w:t>
      </w:r>
      <w:r w:rsidR="001A4D6E">
        <w:t xml:space="preserve">sofern </w:t>
      </w:r>
      <w:r w:rsidR="00D04CF6">
        <w:t>für die dort erbrachten Tätigkeiten</w:t>
      </w:r>
      <w:r w:rsidR="00ED581E">
        <w:t xml:space="preserve"> </w:t>
      </w:r>
      <w:r w:rsidR="00B01CB7">
        <w:t xml:space="preserve">die Voraussetzungen nach dem anzuwendenden Berufsrecht </w:t>
      </w:r>
      <w:r w:rsidR="00ED581E">
        <w:t>erfüllt sind.</w:t>
      </w:r>
      <w:r w:rsidR="0035497A">
        <w:rPr>
          <w:rStyle w:val="Funotenzeichen"/>
        </w:rPr>
        <w:footnoteReference w:id="5"/>
      </w:r>
    </w:p>
    <w:p w14:paraId="69764B32" w14:textId="77777777" w:rsidR="00F54A81" w:rsidRDefault="00F54A81" w:rsidP="00F54A81">
      <w:pPr>
        <w:spacing w:after="0" w:line="360" w:lineRule="auto"/>
        <w:ind w:left="425" w:hanging="425"/>
      </w:pPr>
    </w:p>
    <w:p w14:paraId="08A585DA" w14:textId="70B0D12F" w:rsidR="000B230E" w:rsidRDefault="00F54A81" w:rsidP="00F54A81">
      <w:pPr>
        <w:tabs>
          <w:tab w:val="left" w:pos="4111"/>
        </w:tabs>
        <w:spacing w:after="0" w:line="360" w:lineRule="auto"/>
        <w:ind w:left="425" w:hanging="425"/>
      </w:pPr>
      <w:r>
        <w:t>(6)</w:t>
      </w:r>
      <w:r>
        <w:tab/>
      </w:r>
      <w:r w:rsidR="000B230E">
        <w:t xml:space="preserve">Die Gesellschaft ist berechtigt, </w:t>
      </w:r>
      <w:r w:rsidR="00B056AE">
        <w:t>sich an gleichartigen Gesellschaften zu beteiligen bzw. solche zu erwerben</w:t>
      </w:r>
      <w:r w:rsidR="000B230E">
        <w:t>.</w:t>
      </w:r>
    </w:p>
    <w:p w14:paraId="4A55DA28" w14:textId="77777777" w:rsidR="00F54A81" w:rsidRDefault="00F54A81" w:rsidP="00F54A81">
      <w:pPr>
        <w:spacing w:after="0" w:line="360" w:lineRule="auto"/>
        <w:ind w:left="425" w:hanging="425"/>
      </w:pPr>
    </w:p>
    <w:p w14:paraId="55C6B052" w14:textId="77777777" w:rsidR="00AE7827" w:rsidRDefault="00AE7827" w:rsidP="00F54A81">
      <w:pPr>
        <w:spacing w:after="0" w:line="240" w:lineRule="auto"/>
        <w:jc w:val="center"/>
        <w:rPr>
          <w:b/>
        </w:rPr>
      </w:pPr>
      <w:r>
        <w:rPr>
          <w:b/>
        </w:rPr>
        <w:t>§ 3</w:t>
      </w:r>
    </w:p>
    <w:p w14:paraId="42671221" w14:textId="6E94B9B6" w:rsidR="00AE7827" w:rsidRDefault="00AE7827" w:rsidP="00F54A81">
      <w:pPr>
        <w:spacing w:after="0" w:line="240" w:lineRule="auto"/>
        <w:jc w:val="center"/>
        <w:rPr>
          <w:b/>
        </w:rPr>
      </w:pPr>
      <w:r>
        <w:rPr>
          <w:b/>
        </w:rPr>
        <w:t>Dauer der Gesellschaft</w:t>
      </w:r>
    </w:p>
    <w:p w14:paraId="5AA57BFE" w14:textId="77777777" w:rsidR="00F54A81" w:rsidRDefault="00F54A81" w:rsidP="00F54A81">
      <w:pPr>
        <w:spacing w:after="0" w:line="360" w:lineRule="auto"/>
      </w:pPr>
    </w:p>
    <w:p w14:paraId="072F5BC0" w14:textId="7E73B213" w:rsidR="00AE7827" w:rsidRDefault="00AE7827" w:rsidP="00F3517A">
      <w:pPr>
        <w:spacing w:after="0" w:line="360" w:lineRule="auto"/>
        <w:ind w:left="426" w:hanging="426"/>
        <w:jc w:val="both"/>
      </w:pPr>
      <w:r>
        <w:t>Die Gesellschaft wird auf unbestimmte Dauer errichtet.</w:t>
      </w:r>
    </w:p>
    <w:p w14:paraId="3EDF8D79" w14:textId="77777777" w:rsidR="00AE7827" w:rsidRDefault="00AE7827" w:rsidP="00F3517A">
      <w:pPr>
        <w:spacing w:after="0" w:line="360" w:lineRule="auto"/>
        <w:jc w:val="both"/>
      </w:pPr>
    </w:p>
    <w:p w14:paraId="214321B1" w14:textId="77777777" w:rsidR="00AE7827" w:rsidRDefault="00AE7827" w:rsidP="00F54A81">
      <w:pPr>
        <w:spacing w:after="0" w:line="240" w:lineRule="auto"/>
        <w:jc w:val="center"/>
        <w:rPr>
          <w:b/>
        </w:rPr>
      </w:pPr>
      <w:r>
        <w:rPr>
          <w:b/>
        </w:rPr>
        <w:t>§ 4</w:t>
      </w:r>
    </w:p>
    <w:p w14:paraId="277048C3" w14:textId="5CA876EE" w:rsidR="00AE7827" w:rsidRDefault="00AE7827" w:rsidP="00F54A81">
      <w:pPr>
        <w:spacing w:after="0" w:line="240" w:lineRule="auto"/>
        <w:jc w:val="center"/>
        <w:rPr>
          <w:b/>
        </w:rPr>
      </w:pPr>
      <w:r>
        <w:rPr>
          <w:b/>
        </w:rPr>
        <w:t>Geschäftsjahr und Aufnahme der Tätigkeit</w:t>
      </w:r>
    </w:p>
    <w:p w14:paraId="45E766CC" w14:textId="77777777" w:rsidR="00F54A81" w:rsidRDefault="00F54A81" w:rsidP="00F54A81">
      <w:pPr>
        <w:spacing w:after="0" w:line="360" w:lineRule="auto"/>
      </w:pPr>
    </w:p>
    <w:p w14:paraId="19A422EE" w14:textId="561030AD" w:rsidR="00AE7827" w:rsidRDefault="00AE7827" w:rsidP="00F54A81">
      <w:pPr>
        <w:numPr>
          <w:ilvl w:val="0"/>
          <w:numId w:val="11"/>
        </w:numPr>
        <w:spacing w:after="0" w:line="360" w:lineRule="auto"/>
        <w:ind w:left="426" w:hanging="426"/>
      </w:pPr>
      <w:r>
        <w:t>Das Geschäftsjahr der Gesellschaft ist das Kalenderjahr.</w:t>
      </w:r>
    </w:p>
    <w:p w14:paraId="46283B09" w14:textId="77777777" w:rsidR="00F54A81" w:rsidRDefault="00F54A81" w:rsidP="00F54A81">
      <w:pPr>
        <w:spacing w:after="0" w:line="360" w:lineRule="auto"/>
      </w:pPr>
    </w:p>
    <w:p w14:paraId="48DCBFE1" w14:textId="27D43401" w:rsidR="00AE7827" w:rsidRDefault="00AE7827" w:rsidP="00F54A81">
      <w:pPr>
        <w:numPr>
          <w:ilvl w:val="0"/>
          <w:numId w:val="11"/>
        </w:numPr>
        <w:spacing w:after="0" w:line="360" w:lineRule="auto"/>
        <w:ind w:left="426" w:hanging="426"/>
      </w:pPr>
      <w:r>
        <w:t xml:space="preserve">Das erste Geschäftsjahr beginnt mit der Gründung der Gesellschaft und endet </w:t>
      </w:r>
      <w:r w:rsidR="00F54A81">
        <w:t xml:space="preserve">– </w:t>
      </w:r>
      <w:r w:rsidR="00A87378">
        <w:t>gg</w:t>
      </w:r>
      <w:r w:rsidR="004A61C6">
        <w:t>f.</w:t>
      </w:r>
      <w:r w:rsidR="00A87378">
        <w:t xml:space="preserve"> als Rumpfgeschäftsjahr </w:t>
      </w:r>
      <w:r w:rsidR="00F54A81">
        <w:t xml:space="preserve">– </w:t>
      </w:r>
      <w:r w:rsidR="00457146">
        <w:t>mit dem Ablauf des Kalenderjahres der Gründung</w:t>
      </w:r>
      <w:r>
        <w:t>.</w:t>
      </w:r>
    </w:p>
    <w:p w14:paraId="0BDA01FD" w14:textId="77777777" w:rsidR="00F54A81" w:rsidRDefault="00F54A81" w:rsidP="00F54A81">
      <w:pPr>
        <w:spacing w:after="0" w:line="360" w:lineRule="auto"/>
      </w:pPr>
    </w:p>
    <w:p w14:paraId="57B9F626" w14:textId="1D5C6EA7" w:rsidR="00E159E3" w:rsidRDefault="00AE7827" w:rsidP="00F54A81">
      <w:pPr>
        <w:numPr>
          <w:ilvl w:val="0"/>
          <w:numId w:val="11"/>
        </w:numPr>
        <w:spacing w:after="0" w:line="360" w:lineRule="auto"/>
        <w:ind w:left="426" w:hanging="426"/>
      </w:pPr>
      <w:r>
        <w:t xml:space="preserve">Die Gesellschaft darf ihre Geschäftstätigkeit </w:t>
      </w:r>
      <w:r w:rsidR="005D7D2C">
        <w:t xml:space="preserve">in einem nach § 2 zum Unternehmensgegenstand gehörenden Beruf </w:t>
      </w:r>
      <w:r>
        <w:t xml:space="preserve">erst </w:t>
      </w:r>
      <w:r w:rsidR="003B77D2">
        <w:t xml:space="preserve">mit wirksamer Anerkennung </w:t>
      </w:r>
      <w:r w:rsidR="00DF0667">
        <w:t xml:space="preserve">oder Zulassung </w:t>
      </w:r>
      <w:r w:rsidR="003B77D2">
        <w:t xml:space="preserve">nach dem </w:t>
      </w:r>
      <w:r w:rsidR="005D7D2C">
        <w:t xml:space="preserve">darauf </w:t>
      </w:r>
      <w:r w:rsidR="003B77D2">
        <w:t xml:space="preserve">anzuwendenden Berufsrecht </w:t>
      </w:r>
      <w:r>
        <w:t>aufnehmen</w:t>
      </w:r>
      <w:r w:rsidR="0035497A">
        <w:rPr>
          <w:rStyle w:val="Funotenzeichen"/>
        </w:rPr>
        <w:footnoteReference w:id="6"/>
      </w:r>
      <w:r w:rsidR="00457146">
        <w:t>.</w:t>
      </w:r>
    </w:p>
    <w:p w14:paraId="6A9988C7" w14:textId="77777777" w:rsidR="00AE7827" w:rsidRPr="00F54A81" w:rsidRDefault="00AE7827" w:rsidP="00F54A81">
      <w:pPr>
        <w:spacing w:after="0" w:line="360" w:lineRule="auto"/>
        <w:jc w:val="both"/>
      </w:pPr>
    </w:p>
    <w:p w14:paraId="1F2136C0" w14:textId="77777777" w:rsidR="00AE7827" w:rsidRDefault="00AE7827" w:rsidP="00F54A81">
      <w:pPr>
        <w:pStyle w:val="Kopfzeile"/>
        <w:tabs>
          <w:tab w:val="clear" w:pos="4536"/>
          <w:tab w:val="clear" w:pos="9072"/>
        </w:tabs>
        <w:spacing w:after="0" w:line="240" w:lineRule="auto"/>
        <w:jc w:val="center"/>
        <w:rPr>
          <w:b/>
        </w:rPr>
      </w:pPr>
      <w:r>
        <w:rPr>
          <w:b/>
        </w:rPr>
        <w:t>§ 5</w:t>
      </w:r>
    </w:p>
    <w:p w14:paraId="583E3246" w14:textId="74C57D46" w:rsidR="00AE7827" w:rsidRDefault="00AE7827" w:rsidP="00F54A81">
      <w:pPr>
        <w:pStyle w:val="Kopfzeile"/>
        <w:tabs>
          <w:tab w:val="clear" w:pos="4536"/>
          <w:tab w:val="clear" w:pos="9072"/>
        </w:tabs>
        <w:spacing w:after="0" w:line="240" w:lineRule="auto"/>
        <w:jc w:val="center"/>
        <w:rPr>
          <w:b/>
        </w:rPr>
      </w:pPr>
      <w:r>
        <w:rPr>
          <w:b/>
        </w:rPr>
        <w:t>Stammkapital und Geschäftsanteile</w:t>
      </w:r>
    </w:p>
    <w:p w14:paraId="5763EBCD" w14:textId="77777777" w:rsidR="00F54A81" w:rsidRPr="00F54A81" w:rsidRDefault="00F54A81" w:rsidP="00F54A81">
      <w:pPr>
        <w:pStyle w:val="Kopfzeile"/>
        <w:tabs>
          <w:tab w:val="clear" w:pos="4536"/>
          <w:tab w:val="clear" w:pos="9072"/>
        </w:tabs>
        <w:spacing w:after="0" w:line="360" w:lineRule="auto"/>
      </w:pPr>
    </w:p>
    <w:p w14:paraId="651B8F0E" w14:textId="71A38526" w:rsidR="00AE7827" w:rsidRDefault="00AE7827" w:rsidP="00F3517A">
      <w:pPr>
        <w:numPr>
          <w:ilvl w:val="0"/>
          <w:numId w:val="32"/>
        </w:numPr>
        <w:spacing w:after="0" w:line="360" w:lineRule="auto"/>
        <w:ind w:left="426" w:hanging="426"/>
      </w:pPr>
      <w:r>
        <w:t xml:space="preserve">Das Stammkapital der Gesellschaft beträgt ................................. </w:t>
      </w:r>
      <w:r w:rsidR="00F54A81">
        <w:t>€</w:t>
      </w:r>
      <w:r>
        <w:br/>
        <w:t>in Worten ......................................................................................</w:t>
      </w:r>
      <w:r w:rsidR="00F54A81">
        <w:t xml:space="preserve"> €</w:t>
      </w:r>
      <w:r>
        <w:br/>
        <w:t>(Anmerkung: Mindestens 25.000</w:t>
      </w:r>
      <w:r w:rsidR="00F54A81">
        <w:t>,00 €</w:t>
      </w:r>
      <w:r>
        <w:t>)</w:t>
      </w:r>
    </w:p>
    <w:p w14:paraId="75AB98E2" w14:textId="77777777" w:rsidR="00F54A81" w:rsidRDefault="00F54A81" w:rsidP="00F54A81">
      <w:pPr>
        <w:spacing w:after="0" w:line="360" w:lineRule="auto"/>
        <w:ind w:left="426"/>
      </w:pPr>
    </w:p>
    <w:p w14:paraId="6D4BEDF1" w14:textId="5C6F94AA" w:rsidR="00AE7827" w:rsidRDefault="00A87378" w:rsidP="00F3517A">
      <w:pPr>
        <w:numPr>
          <w:ilvl w:val="0"/>
          <w:numId w:val="32"/>
        </w:numPr>
        <w:spacing w:after="0" w:line="360" w:lineRule="auto"/>
        <w:ind w:left="426" w:hanging="426"/>
      </w:pPr>
      <w:r>
        <w:t>Die Stammeinlagen</w:t>
      </w:r>
      <w:r w:rsidR="00AE7827">
        <w:t xml:space="preserve"> w</w:t>
      </w:r>
      <w:r>
        <w:t>erden</w:t>
      </w:r>
      <w:r w:rsidR="00AE7827">
        <w:t xml:space="preserve"> wie folgt übernommen:</w:t>
      </w:r>
    </w:p>
    <w:p w14:paraId="14F418EF" w14:textId="215AAF4C" w:rsidR="00AE7827" w:rsidRDefault="00AE7827" w:rsidP="00F3517A">
      <w:pPr>
        <w:spacing w:after="0" w:line="360" w:lineRule="auto"/>
        <w:ind w:left="426"/>
      </w:pPr>
      <w:r>
        <w:lastRenderedPageBreak/>
        <w:t>................................................................</w:t>
      </w:r>
      <w:r w:rsidR="00F93166">
        <w:t xml:space="preserve"> </w:t>
      </w:r>
      <w:r>
        <w:t xml:space="preserve">übernimmt einen Geschäftsanteil </w:t>
      </w:r>
      <w:r w:rsidR="00FD4312">
        <w:t>mit</w:t>
      </w:r>
      <w:r>
        <w:t xml:space="preserve"> einem Nennbetrag in Höhe von ....................</w:t>
      </w:r>
      <w:r w:rsidR="00F54A81">
        <w:t xml:space="preserve"> €</w:t>
      </w:r>
      <w:r w:rsidR="00FD4312">
        <w:br/>
      </w:r>
      <w:r>
        <w:t>(i. W. …………………………………</w:t>
      </w:r>
      <w:r w:rsidR="00F54A81">
        <w:t xml:space="preserve"> €</w:t>
      </w:r>
      <w:r>
        <w:t>) (Geschäftsanteil Nr.1)</w:t>
      </w:r>
    </w:p>
    <w:p w14:paraId="2F03C044" w14:textId="77777777" w:rsidR="00F54A81" w:rsidRDefault="00F54A81" w:rsidP="00F3517A">
      <w:pPr>
        <w:spacing w:after="0" w:line="360" w:lineRule="auto"/>
        <w:ind w:left="426"/>
      </w:pPr>
    </w:p>
    <w:p w14:paraId="736D4F54" w14:textId="31D9DC86" w:rsidR="00AE7827" w:rsidRDefault="00AE7827" w:rsidP="00F3517A">
      <w:pPr>
        <w:spacing w:after="0" w:line="360" w:lineRule="auto"/>
        <w:ind w:left="426"/>
      </w:pPr>
      <w:r>
        <w:t>................................................................</w:t>
      </w:r>
      <w:r w:rsidR="00F93166">
        <w:t xml:space="preserve"> </w:t>
      </w:r>
      <w:r>
        <w:t xml:space="preserve">übernimmt einen Geschäftsanteil </w:t>
      </w:r>
      <w:r w:rsidR="00FD4312">
        <w:t xml:space="preserve">mit </w:t>
      </w:r>
      <w:r>
        <w:t>einem Nennbetrag in Höhe von ....................</w:t>
      </w:r>
      <w:r w:rsidR="00F54A81">
        <w:t xml:space="preserve"> €</w:t>
      </w:r>
      <w:r w:rsidR="00FD4312">
        <w:br/>
      </w:r>
      <w:r>
        <w:t>(i. W. …………………………………</w:t>
      </w:r>
      <w:r w:rsidR="00F54A81">
        <w:t xml:space="preserve"> €</w:t>
      </w:r>
      <w:r>
        <w:t>) (Geschäftsanteil Nr. 2)</w:t>
      </w:r>
    </w:p>
    <w:p w14:paraId="0DEDE05E" w14:textId="77777777" w:rsidR="00F54A81" w:rsidRDefault="00F54A81" w:rsidP="00F3517A">
      <w:pPr>
        <w:spacing w:after="0" w:line="360" w:lineRule="auto"/>
        <w:ind w:left="426"/>
      </w:pPr>
    </w:p>
    <w:p w14:paraId="438946CC" w14:textId="41FADA61" w:rsidR="00AE7827" w:rsidRDefault="00AE7827" w:rsidP="00F3517A">
      <w:pPr>
        <w:spacing w:after="0" w:line="360" w:lineRule="auto"/>
        <w:ind w:left="426"/>
      </w:pPr>
      <w:r>
        <w:t>................................................................</w:t>
      </w:r>
      <w:r w:rsidR="00F93166">
        <w:t xml:space="preserve"> </w:t>
      </w:r>
      <w:r>
        <w:t xml:space="preserve">übernimmt einen Geschäftsanteil </w:t>
      </w:r>
      <w:r w:rsidR="00FD4312">
        <w:t>mit</w:t>
      </w:r>
      <w:r>
        <w:t xml:space="preserve"> einem Nennbetrag in Höhe von ....................</w:t>
      </w:r>
      <w:r w:rsidR="00F54A81">
        <w:t xml:space="preserve"> €</w:t>
      </w:r>
      <w:r w:rsidR="00FD4312">
        <w:br/>
      </w:r>
      <w:r>
        <w:t>(i. W. ………………………………</w:t>
      </w:r>
      <w:r w:rsidR="00F54A81">
        <w:t>... €</w:t>
      </w:r>
      <w:r>
        <w:t>) (Geschäftsanteil Nr. 3).</w:t>
      </w:r>
    </w:p>
    <w:p w14:paraId="1EC4241F" w14:textId="77777777" w:rsidR="00F54A81" w:rsidRDefault="00F54A81" w:rsidP="00F3517A">
      <w:pPr>
        <w:spacing w:after="0" w:line="360" w:lineRule="auto"/>
        <w:ind w:left="426"/>
      </w:pPr>
    </w:p>
    <w:p w14:paraId="046DCE90" w14:textId="65AA811E" w:rsidR="00AE7827" w:rsidRDefault="00AE7827" w:rsidP="00F3517A">
      <w:pPr>
        <w:numPr>
          <w:ilvl w:val="0"/>
          <w:numId w:val="32"/>
        </w:numPr>
        <w:spacing w:after="0" w:line="360" w:lineRule="auto"/>
        <w:ind w:left="426" w:hanging="426"/>
      </w:pPr>
      <w:r>
        <w:t xml:space="preserve">Die </w:t>
      </w:r>
      <w:r w:rsidR="00A87378">
        <w:t>Stamme</w:t>
      </w:r>
      <w:r>
        <w:t xml:space="preserve">inlagen sind </w:t>
      </w:r>
      <w:r w:rsidR="000B230E">
        <w:t xml:space="preserve">in Höhe des gesetzlichen Stammkapitals </w:t>
      </w:r>
      <w:r w:rsidR="00AC2EF2">
        <w:t>in Geld</w:t>
      </w:r>
      <w:r w:rsidR="000B230E">
        <w:rPr>
          <w:rStyle w:val="Funotenzeichen"/>
        </w:rPr>
        <w:footnoteReference w:id="7"/>
      </w:r>
      <w:r w:rsidR="00AC2EF2">
        <w:t xml:space="preserve"> </w:t>
      </w:r>
      <w:r>
        <w:t xml:space="preserve">zu </w:t>
      </w:r>
      <w:r w:rsidR="00CD3838">
        <w:t>leisten und</w:t>
      </w:r>
      <w:r>
        <w:t xml:space="preserve"> </w:t>
      </w:r>
      <w:r w:rsidR="003B77D2">
        <w:t>sofort fällig.</w:t>
      </w:r>
    </w:p>
    <w:p w14:paraId="4B7B3449" w14:textId="77777777" w:rsidR="00AE7827" w:rsidRPr="00C33E75" w:rsidRDefault="00AE7827" w:rsidP="00F54A81">
      <w:pPr>
        <w:pStyle w:val="Kopfzeile"/>
        <w:tabs>
          <w:tab w:val="clear" w:pos="4536"/>
          <w:tab w:val="clear" w:pos="9072"/>
          <w:tab w:val="left" w:pos="426"/>
        </w:tabs>
        <w:spacing w:after="0" w:line="360" w:lineRule="auto"/>
        <w:jc w:val="both"/>
      </w:pPr>
    </w:p>
    <w:p w14:paraId="5091B686" w14:textId="77777777" w:rsidR="00AE7827" w:rsidRDefault="00AE7827" w:rsidP="00F54A81">
      <w:pPr>
        <w:spacing w:after="0" w:line="240" w:lineRule="auto"/>
        <w:jc w:val="center"/>
        <w:rPr>
          <w:b/>
        </w:rPr>
      </w:pPr>
      <w:r>
        <w:rPr>
          <w:b/>
        </w:rPr>
        <w:t>§ 6</w:t>
      </w:r>
    </w:p>
    <w:p w14:paraId="01142300" w14:textId="6384579B" w:rsidR="00AE7827" w:rsidRDefault="00F17E4C" w:rsidP="00F54A81">
      <w:pPr>
        <w:pStyle w:val="berschrift3"/>
        <w:spacing w:after="0" w:line="240" w:lineRule="auto"/>
        <w:ind w:left="0"/>
      </w:pPr>
      <w:r>
        <w:t>Sonstige</w:t>
      </w:r>
      <w:r w:rsidR="00CD3838">
        <w:t xml:space="preserve"> Regelungen zu</w:t>
      </w:r>
      <w:r w:rsidR="00AE7827">
        <w:t xml:space="preserve"> Geschäftsanteilen</w:t>
      </w:r>
    </w:p>
    <w:p w14:paraId="6721B165" w14:textId="77777777" w:rsidR="00F54A81" w:rsidRPr="00F54A81" w:rsidRDefault="00F54A81" w:rsidP="00F54A81">
      <w:pPr>
        <w:spacing w:after="0" w:line="360" w:lineRule="auto"/>
      </w:pPr>
    </w:p>
    <w:p w14:paraId="7C8F7530" w14:textId="2937FB37" w:rsidR="00AE7827" w:rsidRDefault="007063AB" w:rsidP="00F54A81">
      <w:pPr>
        <w:numPr>
          <w:ilvl w:val="0"/>
          <w:numId w:val="13"/>
        </w:numPr>
        <w:spacing w:after="0" w:line="360" w:lineRule="auto"/>
        <w:ind w:left="425" w:hanging="425"/>
      </w:pPr>
      <w:r>
        <w:t>Geschäftsanteile</w:t>
      </w:r>
      <w:r w:rsidR="00AE7827">
        <w:t xml:space="preserve"> dürfen ausschließlich </w:t>
      </w:r>
      <w:r>
        <w:t xml:space="preserve">von </w:t>
      </w:r>
      <w:r w:rsidR="008D5788">
        <w:t>Personen i.</w:t>
      </w:r>
      <w:r w:rsidR="005819A7">
        <w:t> </w:t>
      </w:r>
      <w:r w:rsidR="008D5788">
        <w:t>S.</w:t>
      </w:r>
      <w:r w:rsidR="005819A7">
        <w:t> </w:t>
      </w:r>
      <w:r w:rsidR="008D5788">
        <w:t xml:space="preserve">d. §§ 50 Abs. 1 und 55 a Abs. 1 StBerG </w:t>
      </w:r>
      <w:r>
        <w:t>gehalten werden</w:t>
      </w:r>
      <w:r w:rsidR="008D5788">
        <w:t>.</w:t>
      </w:r>
    </w:p>
    <w:p w14:paraId="734445BC" w14:textId="77777777" w:rsidR="00F54A81" w:rsidRPr="00453076" w:rsidRDefault="00F54A81" w:rsidP="00F54A81">
      <w:pPr>
        <w:spacing w:after="0" w:line="360" w:lineRule="auto"/>
        <w:ind w:left="425"/>
      </w:pPr>
    </w:p>
    <w:p w14:paraId="268FA980" w14:textId="63AD42EC" w:rsidR="00AE7827" w:rsidRDefault="007063AB" w:rsidP="00F54A81">
      <w:pPr>
        <w:numPr>
          <w:ilvl w:val="0"/>
          <w:numId w:val="13"/>
        </w:numPr>
        <w:spacing w:after="0" w:line="360" w:lineRule="auto"/>
        <w:ind w:left="426" w:hanging="426"/>
      </w:pPr>
      <w:r>
        <w:t>Geschäftsanteile</w:t>
      </w:r>
      <w:r w:rsidR="00AE7827">
        <w:t xml:space="preserve"> dürfen nicht für Rechnung eines Dritten gehalten werden</w:t>
      </w:r>
      <w:r w:rsidR="008D5788">
        <w:t xml:space="preserve">. </w:t>
      </w:r>
      <w:r w:rsidR="002E2A70">
        <w:t>Dritte dürfen nicht am Gewinn der Gesellschaft beteiligt werden.</w:t>
      </w:r>
      <w:r w:rsidR="00841BDF">
        <w:rPr>
          <w:rStyle w:val="Funotenzeichen"/>
        </w:rPr>
        <w:footnoteReference w:id="8"/>
      </w:r>
    </w:p>
    <w:p w14:paraId="776D51BA" w14:textId="77777777" w:rsidR="00F54A81" w:rsidRPr="00187C55" w:rsidRDefault="00F54A81" w:rsidP="00F54A81">
      <w:pPr>
        <w:spacing w:after="0" w:line="360" w:lineRule="auto"/>
        <w:ind w:left="426"/>
      </w:pPr>
    </w:p>
    <w:p w14:paraId="70666AA4" w14:textId="4835F915" w:rsidR="00AE7827" w:rsidRPr="00A226D5" w:rsidRDefault="002E2A70" w:rsidP="00F54A81">
      <w:pPr>
        <w:numPr>
          <w:ilvl w:val="0"/>
          <w:numId w:val="13"/>
        </w:numPr>
        <w:spacing w:after="0" w:line="360" w:lineRule="auto"/>
        <w:ind w:left="426" w:hanging="426"/>
      </w:pPr>
      <w:r w:rsidRPr="00A226D5">
        <w:t xml:space="preserve">Eine </w:t>
      </w:r>
      <w:r w:rsidR="00AE7827" w:rsidRPr="00A226D5">
        <w:t xml:space="preserve">Übertragung von Geschäftsanteilen sowie von Teilen von Geschäftsanteilen </w:t>
      </w:r>
      <w:r w:rsidRPr="00A226D5">
        <w:t>bedarf der</w:t>
      </w:r>
      <w:r w:rsidR="00AE7827" w:rsidRPr="00A226D5">
        <w:t xml:space="preserve"> Zustimmung der Gesellschaft</w:t>
      </w:r>
      <w:r w:rsidR="008D5788" w:rsidRPr="00A226D5">
        <w:t>erversammlung</w:t>
      </w:r>
      <w:r w:rsidR="00AB7F0E" w:rsidRPr="00A226D5">
        <w:rPr>
          <w:i/>
          <w:sz w:val="23"/>
          <w:szCs w:val="23"/>
        </w:rPr>
        <w:t>.</w:t>
      </w:r>
      <w:r w:rsidR="00841BDF" w:rsidRPr="00A226D5">
        <w:rPr>
          <w:rStyle w:val="Funotenzeichen"/>
          <w:i/>
          <w:sz w:val="23"/>
          <w:szCs w:val="23"/>
        </w:rPr>
        <w:footnoteReference w:id="9"/>
      </w:r>
      <w:r w:rsidR="00AB7F0E" w:rsidRPr="00A226D5">
        <w:t xml:space="preserve"> </w:t>
      </w:r>
      <w:r w:rsidR="00AB7F0E" w:rsidRPr="00A226D5">
        <w:rPr>
          <w:sz w:val="23"/>
          <w:szCs w:val="23"/>
        </w:rPr>
        <w:t xml:space="preserve">Die Zustimmung </w:t>
      </w:r>
      <w:r w:rsidR="00043076" w:rsidRPr="00A226D5">
        <w:rPr>
          <w:sz w:val="23"/>
          <w:szCs w:val="23"/>
        </w:rPr>
        <w:t>darf nur dann erteilt werden, wenn und soweit der Erwerber die in Abs. 1 genannten persönlichen Voraussetzungen erfüllt.</w:t>
      </w:r>
    </w:p>
    <w:p w14:paraId="35901255" w14:textId="56FCE7E7" w:rsidR="002272BF" w:rsidRPr="005819A7" w:rsidRDefault="002272BF" w:rsidP="005819A7">
      <w:pPr>
        <w:spacing w:after="0" w:line="360" w:lineRule="auto"/>
      </w:pPr>
    </w:p>
    <w:p w14:paraId="5B37E05A" w14:textId="77777777" w:rsidR="005819A7" w:rsidRDefault="005819A7">
      <w:pPr>
        <w:spacing w:after="0" w:line="240" w:lineRule="auto"/>
        <w:rPr>
          <w:b/>
        </w:rPr>
      </w:pPr>
      <w:r>
        <w:rPr>
          <w:b/>
        </w:rPr>
        <w:br w:type="page"/>
      </w:r>
    </w:p>
    <w:p w14:paraId="09D645AC" w14:textId="452C9AB5" w:rsidR="005819A7" w:rsidRDefault="00BE3005" w:rsidP="005819A7">
      <w:pPr>
        <w:spacing w:after="0" w:line="240" w:lineRule="auto"/>
        <w:jc w:val="center"/>
        <w:rPr>
          <w:b/>
        </w:rPr>
      </w:pPr>
      <w:r>
        <w:rPr>
          <w:b/>
        </w:rPr>
        <w:lastRenderedPageBreak/>
        <w:t>§ 7</w:t>
      </w:r>
    </w:p>
    <w:p w14:paraId="79FBBD44" w14:textId="09A6CB4B" w:rsidR="00E54A2C" w:rsidRDefault="00BE3005" w:rsidP="005819A7">
      <w:pPr>
        <w:spacing w:after="0" w:line="240" w:lineRule="auto"/>
        <w:jc w:val="center"/>
        <w:rPr>
          <w:b/>
        </w:rPr>
      </w:pPr>
      <w:r>
        <w:rPr>
          <w:b/>
        </w:rPr>
        <w:t xml:space="preserve">Berufspflichten </w:t>
      </w:r>
      <w:r w:rsidR="00EE4CC4">
        <w:rPr>
          <w:b/>
        </w:rPr>
        <w:t>der Gesellschaft</w:t>
      </w:r>
    </w:p>
    <w:p w14:paraId="5ED1B39E" w14:textId="77777777" w:rsidR="005819A7" w:rsidRPr="005819A7" w:rsidRDefault="005819A7" w:rsidP="005819A7">
      <w:pPr>
        <w:spacing w:after="0" w:line="360" w:lineRule="auto"/>
      </w:pPr>
    </w:p>
    <w:p w14:paraId="3CA12E01" w14:textId="52C82322" w:rsidR="00F06A90" w:rsidRDefault="00E71FD3" w:rsidP="005819A7">
      <w:pPr>
        <w:numPr>
          <w:ilvl w:val="0"/>
          <w:numId w:val="7"/>
        </w:numPr>
        <w:spacing w:after="0" w:line="360" w:lineRule="auto"/>
        <w:ind w:left="425" w:hanging="425"/>
      </w:pPr>
      <w:r w:rsidRPr="00411BBD">
        <w:t xml:space="preserve">Die </w:t>
      </w:r>
      <w:r w:rsidR="003A12D3">
        <w:t>G</w:t>
      </w:r>
      <w:r w:rsidRPr="00411BBD">
        <w:t xml:space="preserve">esellschaft </w:t>
      </w:r>
      <w:r w:rsidR="00E77506">
        <w:t xml:space="preserve">ist Trägerin von Berufspflichten. Sie </w:t>
      </w:r>
      <w:r w:rsidRPr="00411BBD">
        <w:t>hat durch geeignete Maßnahmen sicherzustellen,</w:t>
      </w:r>
      <w:r w:rsidR="00E54A2C" w:rsidRPr="003A12D3">
        <w:t xml:space="preserve"> dass</w:t>
      </w:r>
      <w:r w:rsidR="008F08B0">
        <w:t xml:space="preserve"> </w:t>
      </w:r>
      <w:r w:rsidRPr="00411BBD">
        <w:t xml:space="preserve">Verstöße </w:t>
      </w:r>
      <w:r w:rsidR="00F65944">
        <w:t xml:space="preserve">gegen das anzuwendende Berufsrecht </w:t>
      </w:r>
      <w:r w:rsidRPr="00411BBD">
        <w:t>frühzeitig erkannt und abgestellt werden</w:t>
      </w:r>
      <w:r w:rsidR="00CD3838">
        <w:t>.</w:t>
      </w:r>
      <w:r w:rsidR="00280015">
        <w:rPr>
          <w:rStyle w:val="Funotenzeichen"/>
        </w:rPr>
        <w:footnoteReference w:id="10"/>
      </w:r>
      <w:r>
        <w:t xml:space="preserve"> </w:t>
      </w:r>
      <w:r w:rsidR="009C0446">
        <w:t>Die Mitglieder des Geschäftsführungs- und Aufsichtsorgans sind verpflichtet, für die Einhaltung des Berufsrechts in der Berufsausübungsgesellschaft zu sorgen.</w:t>
      </w:r>
      <w:r w:rsidR="009C0446">
        <w:rPr>
          <w:rStyle w:val="Funotenzeichen"/>
        </w:rPr>
        <w:footnoteReference w:id="11"/>
      </w:r>
    </w:p>
    <w:p w14:paraId="62F8BBC5" w14:textId="77777777" w:rsidR="005819A7" w:rsidRDefault="005819A7" w:rsidP="005819A7">
      <w:pPr>
        <w:spacing w:after="0" w:line="360" w:lineRule="auto"/>
        <w:ind w:left="425"/>
      </w:pPr>
    </w:p>
    <w:p w14:paraId="06401E60" w14:textId="08ED3EB1" w:rsidR="006A43E6" w:rsidRDefault="00F65944" w:rsidP="005819A7">
      <w:pPr>
        <w:numPr>
          <w:ilvl w:val="0"/>
          <w:numId w:val="7"/>
        </w:numPr>
        <w:spacing w:after="0" w:line="360" w:lineRule="auto"/>
        <w:ind w:left="425" w:hanging="425"/>
      </w:pPr>
      <w:r>
        <w:t xml:space="preserve">Jeder Gesellschafter hat gegenüber der Gesellschaft sicherzustellen und </w:t>
      </w:r>
      <w:r w:rsidR="00AA4B07">
        <w:t xml:space="preserve">es insbesondere durch </w:t>
      </w:r>
      <w:r>
        <w:t>sein</w:t>
      </w:r>
      <w:r w:rsidR="00AA4B07">
        <w:t xml:space="preserve"> Abstimmungsverhalten in der Gesellschafterversammlung</w:t>
      </w:r>
      <w:r>
        <w:t xml:space="preserve"> zu ermöglichen</w:t>
      </w:r>
      <w:r w:rsidR="00AA4B07">
        <w:t xml:space="preserve">, dass </w:t>
      </w:r>
      <w:r>
        <w:t>die Gesellschaft</w:t>
      </w:r>
      <w:r w:rsidR="00AA4B07">
        <w:t xml:space="preserve"> </w:t>
      </w:r>
      <w:r>
        <w:t xml:space="preserve">stets </w:t>
      </w:r>
      <w:r w:rsidR="00AA4B07">
        <w:t xml:space="preserve">ihre </w:t>
      </w:r>
      <w:r>
        <w:t>P</w:t>
      </w:r>
      <w:r w:rsidR="00AA4B07">
        <w:t xml:space="preserve">flichten </w:t>
      </w:r>
      <w:r>
        <w:t xml:space="preserve">nach dem anzuwendenden Berufsrecht </w:t>
      </w:r>
      <w:r w:rsidR="00AA4B07">
        <w:t>erfüllen kann.</w:t>
      </w:r>
      <w:r w:rsidR="00280015">
        <w:rPr>
          <w:rStyle w:val="Funotenzeichen"/>
        </w:rPr>
        <w:footnoteReference w:id="12"/>
      </w:r>
    </w:p>
    <w:p w14:paraId="24C0263C" w14:textId="77777777" w:rsidR="005819A7" w:rsidRDefault="005819A7" w:rsidP="005819A7">
      <w:pPr>
        <w:spacing w:after="0" w:line="360" w:lineRule="auto"/>
        <w:ind w:left="425"/>
      </w:pPr>
    </w:p>
    <w:p w14:paraId="480B1B39" w14:textId="731C1480" w:rsidR="00DF0667" w:rsidRDefault="00DF0667" w:rsidP="005819A7">
      <w:pPr>
        <w:numPr>
          <w:ilvl w:val="0"/>
          <w:numId w:val="7"/>
        </w:numPr>
        <w:spacing w:after="0" w:line="360" w:lineRule="auto"/>
        <w:ind w:left="425" w:hanging="425"/>
      </w:pPr>
      <w:r>
        <w:t>Die Gesellschaft</w:t>
      </w:r>
      <w:r w:rsidRPr="00E23D22">
        <w:t xml:space="preserve"> unterhält die </w:t>
      </w:r>
      <w:r>
        <w:t xml:space="preserve">für sie berufsrechtlich </w:t>
      </w:r>
      <w:r w:rsidRPr="00E23D22">
        <w:t>vorgeschriebenen Berufshaftpflichtversicherungen.</w:t>
      </w:r>
    </w:p>
    <w:p w14:paraId="64DA0A10" w14:textId="77777777" w:rsidR="008F08B0" w:rsidRPr="005819A7" w:rsidRDefault="008F08B0" w:rsidP="005819A7">
      <w:pPr>
        <w:spacing w:after="0" w:line="360" w:lineRule="auto"/>
      </w:pPr>
    </w:p>
    <w:p w14:paraId="1BC0E2B4" w14:textId="24A212F1" w:rsidR="008F08B0" w:rsidRDefault="00C33AF9" w:rsidP="005819A7">
      <w:pPr>
        <w:spacing w:after="0" w:line="240" w:lineRule="auto"/>
        <w:jc w:val="center"/>
        <w:rPr>
          <w:b/>
        </w:rPr>
      </w:pPr>
      <w:r>
        <w:rPr>
          <w:b/>
        </w:rPr>
        <w:t xml:space="preserve">§ </w:t>
      </w:r>
      <w:r w:rsidR="008F08B0">
        <w:rPr>
          <w:b/>
        </w:rPr>
        <w:t>8</w:t>
      </w:r>
    </w:p>
    <w:p w14:paraId="51C5D387" w14:textId="707A870F" w:rsidR="008F08B0" w:rsidRDefault="008F08B0" w:rsidP="005819A7">
      <w:pPr>
        <w:pStyle w:val="berschrift6"/>
        <w:spacing w:after="0" w:line="240" w:lineRule="auto"/>
        <w:ind w:left="0"/>
      </w:pPr>
      <w:r>
        <w:t>Verschwiegenheitspflicht</w:t>
      </w:r>
      <w:r w:rsidR="003A2C09">
        <w:t>en</w:t>
      </w:r>
    </w:p>
    <w:p w14:paraId="279C4F13" w14:textId="77777777" w:rsidR="005819A7" w:rsidRPr="005819A7" w:rsidRDefault="005819A7" w:rsidP="005819A7">
      <w:pPr>
        <w:spacing w:after="0" w:line="360" w:lineRule="auto"/>
      </w:pPr>
    </w:p>
    <w:p w14:paraId="3192FF29" w14:textId="108AAF72" w:rsidR="00280015" w:rsidRDefault="00E00ED1" w:rsidP="005819A7">
      <w:pPr>
        <w:numPr>
          <w:ilvl w:val="0"/>
          <w:numId w:val="16"/>
        </w:numPr>
        <w:spacing w:after="0" w:line="360" w:lineRule="auto"/>
        <w:ind w:left="426" w:hanging="426"/>
      </w:pPr>
      <w:r>
        <w:t xml:space="preserve">Sämtliche </w:t>
      </w:r>
      <w:r w:rsidR="008F08B0">
        <w:t xml:space="preserve">Gesellschafter </w:t>
      </w:r>
      <w:r>
        <w:t xml:space="preserve">und Organe von Gesellschaftern </w:t>
      </w:r>
      <w:r w:rsidR="008F08B0">
        <w:t xml:space="preserve">sind zur Verschwiegenheit </w:t>
      </w:r>
      <w:r>
        <w:t xml:space="preserve">nach dem </w:t>
      </w:r>
      <w:r w:rsidR="00F1257D">
        <w:t xml:space="preserve">anzuwendenden </w:t>
      </w:r>
      <w:r>
        <w:t xml:space="preserve">Berufsrecht </w:t>
      </w:r>
      <w:r w:rsidR="008F08B0">
        <w:t>verpflichtet</w:t>
      </w:r>
      <w:r>
        <w:t>.</w:t>
      </w:r>
      <w:r w:rsidR="00280015">
        <w:rPr>
          <w:rStyle w:val="Funotenzeichen"/>
        </w:rPr>
        <w:footnoteReference w:id="13"/>
      </w:r>
      <w:r w:rsidR="008F08B0">
        <w:t xml:space="preserve"> Dies gilt gleichermaßen </w:t>
      </w:r>
      <w:r>
        <w:t xml:space="preserve">für sämtliche </w:t>
      </w:r>
      <w:r w:rsidR="008F08B0">
        <w:t xml:space="preserve">Mitglieder des Geschäftsführungs- und Aufsichtsorgans der </w:t>
      </w:r>
      <w:r>
        <w:t>Gesellschaft.</w:t>
      </w:r>
      <w:r w:rsidR="00280015">
        <w:rPr>
          <w:rStyle w:val="Funotenzeichen"/>
        </w:rPr>
        <w:footnoteReference w:id="14"/>
      </w:r>
    </w:p>
    <w:p w14:paraId="5215D17B" w14:textId="77777777" w:rsidR="005819A7" w:rsidRDefault="005819A7" w:rsidP="005819A7">
      <w:pPr>
        <w:spacing w:after="0" w:line="360" w:lineRule="auto"/>
        <w:ind w:left="426"/>
      </w:pPr>
    </w:p>
    <w:p w14:paraId="100D7EB4" w14:textId="33796329" w:rsidR="006A43E6" w:rsidRDefault="008F08B0" w:rsidP="005819A7">
      <w:pPr>
        <w:numPr>
          <w:ilvl w:val="0"/>
          <w:numId w:val="16"/>
        </w:numPr>
        <w:spacing w:after="0" w:line="360" w:lineRule="auto"/>
        <w:ind w:left="426" w:hanging="426"/>
      </w:pPr>
      <w:r>
        <w:t>Mitarbeiter</w:t>
      </w:r>
      <w:r w:rsidR="00E00ED1">
        <w:t xml:space="preserve"> der Gesellschaft</w:t>
      </w:r>
      <w:r>
        <w:t xml:space="preserve">, die nicht selbst kraft Gesetzes zur </w:t>
      </w:r>
      <w:r w:rsidR="00F1257D">
        <w:t xml:space="preserve">beruflichen </w:t>
      </w:r>
      <w:r>
        <w:t xml:space="preserve">Verschwiegenheit verpflichtet sind, </w:t>
      </w:r>
      <w:r w:rsidR="00F1257D">
        <w:t>sind</w:t>
      </w:r>
      <w:r>
        <w:t xml:space="preserve"> bei Dienstantritt durch die Geschäftsführung zur Verschwiegenheit </w:t>
      </w:r>
      <w:r w:rsidR="00E00ED1">
        <w:t xml:space="preserve">nach dem </w:t>
      </w:r>
      <w:r w:rsidR="00F1257D">
        <w:t xml:space="preserve">anzuwendenden </w:t>
      </w:r>
      <w:r w:rsidR="00E00ED1">
        <w:t xml:space="preserve">Berufsrecht </w:t>
      </w:r>
      <w:r w:rsidR="00F1257D">
        <w:t xml:space="preserve">zu </w:t>
      </w:r>
      <w:r>
        <w:t>verpflichte</w:t>
      </w:r>
      <w:r w:rsidR="00F1257D">
        <w:t>n</w:t>
      </w:r>
      <w:r w:rsidR="00607730">
        <w:t>.</w:t>
      </w:r>
      <w:r w:rsidR="00280015">
        <w:rPr>
          <w:rStyle w:val="Funotenzeichen"/>
        </w:rPr>
        <w:footnoteReference w:id="15"/>
      </w:r>
    </w:p>
    <w:p w14:paraId="16E9EF5F" w14:textId="77777777" w:rsidR="005819A7" w:rsidRDefault="005819A7" w:rsidP="005819A7">
      <w:pPr>
        <w:spacing w:after="0" w:line="360" w:lineRule="auto"/>
        <w:ind w:left="426"/>
      </w:pPr>
    </w:p>
    <w:p w14:paraId="77BAD131" w14:textId="68C906F0" w:rsidR="00A226D5" w:rsidRDefault="00E77506" w:rsidP="005819A7">
      <w:pPr>
        <w:numPr>
          <w:ilvl w:val="0"/>
          <w:numId w:val="16"/>
        </w:numPr>
        <w:spacing w:after="0" w:line="360" w:lineRule="auto"/>
        <w:ind w:left="426" w:hanging="426"/>
        <w:rPr>
          <w:i/>
        </w:rPr>
      </w:pPr>
      <w:r w:rsidRPr="00BD3B0A">
        <w:rPr>
          <w:b/>
          <w:i/>
        </w:rPr>
        <w:lastRenderedPageBreak/>
        <w:t>Optional:</w:t>
      </w:r>
      <w:r w:rsidRPr="00E77506">
        <w:rPr>
          <w:i/>
        </w:rPr>
        <w:t xml:space="preserve"> Die Gesellschafter haben die ihnen aufgrund ihrer Gesellschafterstellung bekannt gewordenen vertraulichen Informationen über Angelegenheiten der Gesellschaft geheim</w:t>
      </w:r>
      <w:r w:rsidR="005819A7">
        <w:rPr>
          <w:i/>
        </w:rPr>
        <w:t xml:space="preserve"> </w:t>
      </w:r>
      <w:r w:rsidRPr="00E77506">
        <w:rPr>
          <w:i/>
        </w:rPr>
        <w:t>zu</w:t>
      </w:r>
      <w:r w:rsidR="005819A7">
        <w:rPr>
          <w:i/>
        </w:rPr>
        <w:t xml:space="preserve"> </w:t>
      </w:r>
      <w:r w:rsidRPr="00E77506">
        <w:rPr>
          <w:i/>
        </w:rPr>
        <w:t>halten und Dritten nicht zu offenbaren. Sie haben deren Benutzung oder Verwertung für eigene geschäftliche Interessen oder solche Dritter zu unterlassen.</w:t>
      </w:r>
    </w:p>
    <w:p w14:paraId="031C06AC" w14:textId="77777777" w:rsidR="005819A7" w:rsidRDefault="005819A7" w:rsidP="005819A7">
      <w:pPr>
        <w:spacing w:after="0" w:line="360" w:lineRule="auto"/>
        <w:ind w:left="426"/>
        <w:rPr>
          <w:i/>
        </w:rPr>
      </w:pPr>
    </w:p>
    <w:p w14:paraId="66F49435" w14:textId="6538B406" w:rsidR="00E77506" w:rsidRPr="00441011" w:rsidRDefault="00E77506" w:rsidP="005819A7">
      <w:pPr>
        <w:numPr>
          <w:ilvl w:val="0"/>
          <w:numId w:val="16"/>
        </w:numPr>
        <w:spacing w:after="0" w:line="360" w:lineRule="auto"/>
        <w:ind w:left="426" w:hanging="426"/>
      </w:pPr>
      <w:r w:rsidRPr="00441011">
        <w:t xml:space="preserve">Die Verpflichtungen </w:t>
      </w:r>
      <w:r w:rsidR="00A226D5">
        <w:t xml:space="preserve">nach Abs. 1 bis 2 </w:t>
      </w:r>
      <w:r w:rsidR="00A226D5" w:rsidRPr="00BD3B0A">
        <w:rPr>
          <w:b/>
          <w:i/>
        </w:rPr>
        <w:t>Optional:</w:t>
      </w:r>
      <w:r w:rsidR="00A226D5" w:rsidRPr="00441011">
        <w:rPr>
          <w:i/>
        </w:rPr>
        <w:t xml:space="preserve"> 3 </w:t>
      </w:r>
      <w:r w:rsidRPr="00441011">
        <w:t xml:space="preserve">gelten auch nach dem Ausscheiden eines Gesellschafters </w:t>
      </w:r>
      <w:r w:rsidR="00452960">
        <w:t>bzw.</w:t>
      </w:r>
      <w:r w:rsidR="00CC7279">
        <w:t xml:space="preserve"> Mitglieds der Geschäftsführung oder des Aufsichtsrats </w:t>
      </w:r>
      <w:r w:rsidRPr="00441011">
        <w:t>aus der Gesellschaft oder der Auflösung der Gesellschaft fort.</w:t>
      </w:r>
    </w:p>
    <w:p w14:paraId="04C9AA32" w14:textId="77777777" w:rsidR="00B87931" w:rsidRPr="00411BBD" w:rsidRDefault="00B87931" w:rsidP="005819A7">
      <w:pPr>
        <w:spacing w:after="0" w:line="360" w:lineRule="auto"/>
      </w:pPr>
    </w:p>
    <w:p w14:paraId="70BD294C" w14:textId="77777777" w:rsidR="00AE7827" w:rsidRDefault="00AE7827" w:rsidP="00BD3B0A">
      <w:pPr>
        <w:spacing w:after="0" w:line="240" w:lineRule="auto"/>
        <w:jc w:val="center"/>
        <w:rPr>
          <w:b/>
        </w:rPr>
      </w:pPr>
      <w:r>
        <w:rPr>
          <w:b/>
        </w:rPr>
        <w:t xml:space="preserve">§ </w:t>
      </w:r>
      <w:r w:rsidR="002B1C3F">
        <w:rPr>
          <w:b/>
        </w:rPr>
        <w:t>9</w:t>
      </w:r>
    </w:p>
    <w:p w14:paraId="23E643B8" w14:textId="040D5C2A" w:rsidR="00AE7827" w:rsidRDefault="00AE7827" w:rsidP="00BD3B0A">
      <w:pPr>
        <w:pStyle w:val="berschrift1"/>
        <w:spacing w:after="0" w:line="240" w:lineRule="auto"/>
      </w:pPr>
      <w:r>
        <w:t>Geschäftsführung</w:t>
      </w:r>
      <w:r w:rsidR="00FF7ACF">
        <w:t xml:space="preserve"> und Vertretung</w:t>
      </w:r>
    </w:p>
    <w:p w14:paraId="0F956CE9" w14:textId="77777777" w:rsidR="005819A7" w:rsidRPr="005819A7" w:rsidRDefault="005819A7" w:rsidP="005819A7">
      <w:pPr>
        <w:spacing w:after="0" w:line="360" w:lineRule="auto"/>
      </w:pPr>
    </w:p>
    <w:p w14:paraId="21E4077E" w14:textId="628D70A1" w:rsidR="0021265B" w:rsidRDefault="00FF7ACF" w:rsidP="005819A7">
      <w:pPr>
        <w:numPr>
          <w:ilvl w:val="0"/>
          <w:numId w:val="18"/>
        </w:numPr>
        <w:spacing w:after="0" w:line="360" w:lineRule="auto"/>
        <w:ind w:left="426" w:hanging="426"/>
      </w:pPr>
      <w:r w:rsidRPr="00FF7ACF">
        <w:t xml:space="preserve">Die Gesellschaft wird nach Maßgabe der Gesetze, </w:t>
      </w:r>
      <w:r w:rsidR="00734364">
        <w:t>des anzuwendenden Berufsrechts</w:t>
      </w:r>
      <w:r w:rsidRPr="00FF7ACF">
        <w:t xml:space="preserve"> und </w:t>
      </w:r>
      <w:r w:rsidR="00F1257D">
        <w:t>des Gesellschaftsvertrag</w:t>
      </w:r>
      <w:r w:rsidR="003743F9">
        <w:t>s</w:t>
      </w:r>
      <w:r w:rsidRPr="00FF7ACF">
        <w:t xml:space="preserve"> verantwortlich geführt. </w:t>
      </w:r>
      <w:r w:rsidR="002260AC">
        <w:t xml:space="preserve">Die verantwortliche Führung umfasst die Geschäftsführung und die Vertretung der Gesellschaft. </w:t>
      </w:r>
      <w:r w:rsidRPr="00FF7ACF">
        <w:t xml:space="preserve">Geschäftsführer </w:t>
      </w:r>
      <w:r w:rsidR="00DF0667">
        <w:t>dürfen ausschließlich</w:t>
      </w:r>
      <w:r w:rsidR="003743F9">
        <w:t xml:space="preserve"> Steuerberater, Steuerbevollmächtigte oder Angehörige </w:t>
      </w:r>
      <w:r w:rsidR="00241116">
        <w:t xml:space="preserve">eines </w:t>
      </w:r>
      <w:r w:rsidR="00406226">
        <w:t xml:space="preserve">der </w:t>
      </w:r>
      <w:r w:rsidR="00241116">
        <w:t>in § 50 Abs. 1 S</w:t>
      </w:r>
      <w:r w:rsidR="005819A7">
        <w:t>atz</w:t>
      </w:r>
      <w:r w:rsidR="00241116">
        <w:t xml:space="preserve"> 1 StBerG genannten </w:t>
      </w:r>
      <w:r w:rsidR="00406226">
        <w:t>Berufe sein</w:t>
      </w:r>
      <w:r w:rsidR="0021265B">
        <w:t>.</w:t>
      </w:r>
    </w:p>
    <w:p w14:paraId="1938B006" w14:textId="77777777" w:rsidR="005819A7" w:rsidRDefault="005819A7" w:rsidP="005819A7">
      <w:pPr>
        <w:spacing w:after="0" w:line="360" w:lineRule="auto"/>
        <w:ind w:left="426"/>
      </w:pPr>
    </w:p>
    <w:p w14:paraId="440043C4" w14:textId="6D3098CC" w:rsidR="00AF78EE" w:rsidRDefault="00AF78EE" w:rsidP="005819A7">
      <w:pPr>
        <w:numPr>
          <w:ilvl w:val="0"/>
          <w:numId w:val="18"/>
        </w:numPr>
        <w:spacing w:after="0" w:line="360" w:lineRule="auto"/>
        <w:ind w:left="426" w:hanging="426"/>
      </w:pPr>
      <w:r w:rsidRPr="00FF7ACF">
        <w:t>Im Innenverhältnis gilt</w:t>
      </w:r>
      <w:r w:rsidRPr="00AF78EE">
        <w:t xml:space="preserve"> </w:t>
      </w:r>
      <w:r>
        <w:t>für die Willensbildung in der Geschäftsführung</w:t>
      </w:r>
      <w:r w:rsidRPr="00FF7ACF">
        <w:t xml:space="preserve">, dass </w:t>
      </w:r>
      <w:r>
        <w:t xml:space="preserve">Entscheidungen der Geschäftsführung </w:t>
      </w:r>
      <w:r w:rsidR="00354EE5">
        <w:t xml:space="preserve">mehrheitlich oder nach Maßgabe einer von der Gesellschafterversammlung erlassenen Geschäftsordnung </w:t>
      </w:r>
      <w:r w:rsidR="00291DC2">
        <w:t xml:space="preserve">von </w:t>
      </w:r>
      <w:r w:rsidR="00CC3FA3">
        <w:t xml:space="preserve">der Geschäftsführung </w:t>
      </w:r>
      <w:r w:rsidR="00354EE5">
        <w:t xml:space="preserve">getroffen werden. Dabei sind stets </w:t>
      </w:r>
      <w:r>
        <w:t>die Vorgaben des anzuwendenden Berufsrechts einzuhalten</w:t>
      </w:r>
      <w:r w:rsidR="00341EC5">
        <w:t>; das gilt insbesondere, soweit Entscheidungen der Geschäftsführung im Einzelfall Maßnahmen der Berufsausübung darstellen</w:t>
      </w:r>
      <w:r w:rsidRPr="00FF7ACF">
        <w:t>. Beschlüsse</w:t>
      </w:r>
      <w:r w:rsidR="00406226" w:rsidRPr="00406226">
        <w:t xml:space="preserve"> </w:t>
      </w:r>
      <w:r w:rsidR="00406226">
        <w:t xml:space="preserve">der Geschäftsführung </w:t>
      </w:r>
      <w:r w:rsidR="00BD49AF">
        <w:t xml:space="preserve">und vertragliche Vereinbarungen </w:t>
      </w:r>
      <w:r w:rsidR="00406226" w:rsidRPr="00FF7ACF">
        <w:t>sind unzulässig</w:t>
      </w:r>
      <w:r w:rsidRPr="00FF7ACF">
        <w:t xml:space="preserve">, </w:t>
      </w:r>
      <w:r w:rsidR="00BD49AF">
        <w:t>soweit si</w:t>
      </w:r>
      <w:r w:rsidRPr="00FF7ACF">
        <w:t xml:space="preserve">e einen Geschäftsführer </w:t>
      </w:r>
      <w:r w:rsidR="00BD3B0A">
        <w:br/>
      </w:r>
      <w:r w:rsidRPr="00FF7ACF">
        <w:t xml:space="preserve">oder einen in den Diensten der Gesellschaft stehenden </w:t>
      </w:r>
      <w:r>
        <w:t>Angehörigen</w:t>
      </w:r>
      <w:r w:rsidRPr="00FF7ACF">
        <w:t xml:space="preserve"> </w:t>
      </w:r>
      <w:r w:rsidR="00341EC5">
        <w:t>eines der in § 50 Abs.</w:t>
      </w:r>
      <w:r w:rsidR="005819A7">
        <w:t> </w:t>
      </w:r>
      <w:r w:rsidR="00341EC5">
        <w:t>1 S</w:t>
      </w:r>
      <w:r w:rsidR="005819A7">
        <w:t>atz</w:t>
      </w:r>
      <w:r w:rsidR="00341EC5">
        <w:t xml:space="preserve"> 1 StBerG genannten Berufe</w:t>
      </w:r>
      <w:r w:rsidR="00341EC5" w:rsidDel="00341EC5">
        <w:t xml:space="preserve"> </w:t>
      </w:r>
      <w:r w:rsidRPr="00FF7ACF">
        <w:t>in der Freiheit seiner Berufsausübung beeinträchtigen</w:t>
      </w:r>
      <w:r w:rsidR="00406226">
        <w:t>.</w:t>
      </w:r>
    </w:p>
    <w:p w14:paraId="17368E21" w14:textId="77777777" w:rsidR="005819A7" w:rsidRDefault="005819A7" w:rsidP="005819A7">
      <w:pPr>
        <w:spacing w:after="0" w:line="360" w:lineRule="auto"/>
        <w:ind w:left="426"/>
      </w:pPr>
    </w:p>
    <w:p w14:paraId="345A4169" w14:textId="22F73446" w:rsidR="00245B46" w:rsidRDefault="00DF0667" w:rsidP="005819A7">
      <w:pPr>
        <w:numPr>
          <w:ilvl w:val="0"/>
          <w:numId w:val="18"/>
        </w:numPr>
        <w:spacing w:after="0" w:line="360" w:lineRule="auto"/>
        <w:ind w:left="426" w:hanging="426"/>
        <w:rPr>
          <w:i/>
        </w:rPr>
      </w:pPr>
      <w:r w:rsidRPr="00BD3B0A">
        <w:rPr>
          <w:b/>
          <w:i/>
        </w:rPr>
        <w:t>Optional:</w:t>
      </w:r>
      <w:r>
        <w:rPr>
          <w:i/>
        </w:rPr>
        <w:t xml:space="preserve"> Regelung zu </w:t>
      </w:r>
      <w:r w:rsidR="00441011" w:rsidRPr="002272BF">
        <w:rPr>
          <w:i/>
        </w:rPr>
        <w:t>Handlungen</w:t>
      </w:r>
      <w:r>
        <w:rPr>
          <w:i/>
        </w:rPr>
        <w:t xml:space="preserve">, die </w:t>
      </w:r>
      <w:r w:rsidR="00441011" w:rsidRPr="002272BF">
        <w:rPr>
          <w:i/>
        </w:rPr>
        <w:t>der vorherigen Zustimmung durch Gesellschafterbeschluss</w:t>
      </w:r>
      <w:r>
        <w:rPr>
          <w:i/>
        </w:rPr>
        <w:t xml:space="preserve"> bedürfen</w:t>
      </w:r>
      <w:r w:rsidR="00441011" w:rsidRPr="002272BF">
        <w:rPr>
          <w:i/>
        </w:rPr>
        <w:t>.</w:t>
      </w:r>
    </w:p>
    <w:p w14:paraId="009D2252" w14:textId="77777777" w:rsidR="005819A7" w:rsidRPr="002272BF" w:rsidRDefault="005819A7" w:rsidP="005819A7">
      <w:pPr>
        <w:spacing w:after="0" w:line="360" w:lineRule="auto"/>
        <w:ind w:left="426"/>
        <w:rPr>
          <w:i/>
        </w:rPr>
      </w:pPr>
    </w:p>
    <w:p w14:paraId="59348B9F" w14:textId="273A62CE" w:rsidR="0021265B" w:rsidRDefault="0021265B" w:rsidP="005819A7">
      <w:pPr>
        <w:numPr>
          <w:ilvl w:val="0"/>
          <w:numId w:val="18"/>
        </w:numPr>
        <w:spacing w:after="0" w:line="360" w:lineRule="auto"/>
        <w:ind w:left="426" w:hanging="426"/>
      </w:pPr>
      <w:r>
        <w:t>Die Gesellschaft</w:t>
      </w:r>
      <w:r w:rsidRPr="00FF7ACF">
        <w:t xml:space="preserve"> hat einen oder mehrere Geschäftsführer. </w:t>
      </w:r>
    </w:p>
    <w:p w14:paraId="05ED4977" w14:textId="77777777" w:rsidR="005819A7" w:rsidRDefault="005819A7" w:rsidP="005819A7">
      <w:pPr>
        <w:spacing w:after="0" w:line="360" w:lineRule="auto"/>
      </w:pPr>
    </w:p>
    <w:p w14:paraId="161A41EE" w14:textId="08601192" w:rsidR="005819A7" w:rsidRDefault="0021265B" w:rsidP="00DF7AAA">
      <w:pPr>
        <w:numPr>
          <w:ilvl w:val="0"/>
          <w:numId w:val="40"/>
        </w:numPr>
        <w:spacing w:after="0" w:line="360" w:lineRule="auto"/>
        <w:ind w:left="850" w:hanging="425"/>
      </w:pPr>
      <w:r w:rsidRPr="0021265B">
        <w:t>Ist nur ein Geschäftsführer bestellt, wird die Gesellschaft durch ihn allein vertreten</w:t>
      </w:r>
      <w:r w:rsidR="00976352">
        <w:t>.</w:t>
      </w:r>
    </w:p>
    <w:p w14:paraId="688EB3CD" w14:textId="77777777" w:rsidR="005819A7" w:rsidRDefault="005819A7" w:rsidP="00DF7AAA">
      <w:pPr>
        <w:spacing w:after="0" w:line="360" w:lineRule="auto"/>
        <w:ind w:left="850" w:hanging="425"/>
      </w:pPr>
    </w:p>
    <w:p w14:paraId="736C5CF5" w14:textId="3EF7D316" w:rsidR="0021265B" w:rsidRDefault="00406226" w:rsidP="00DF7AAA">
      <w:pPr>
        <w:numPr>
          <w:ilvl w:val="0"/>
          <w:numId w:val="40"/>
        </w:numPr>
        <w:spacing w:after="0" w:line="360" w:lineRule="auto"/>
        <w:ind w:left="850" w:hanging="425"/>
      </w:pPr>
      <w:r>
        <w:t>Sind</w:t>
      </w:r>
      <w:r w:rsidR="0063553D">
        <w:t xml:space="preserve"> mehrere </w:t>
      </w:r>
      <w:r w:rsidR="00FF7ACF" w:rsidRPr="00FF7ACF">
        <w:t xml:space="preserve">Geschäftsführer bestellt, </w:t>
      </w:r>
      <w:r w:rsidR="00A0781E" w:rsidRPr="00FF7ACF">
        <w:t>wird die Gesellschaft durch zwei Geschäftsführer gemeinschaftlich</w:t>
      </w:r>
      <w:r w:rsidR="00A0781E">
        <w:t xml:space="preserve"> vertreten.</w:t>
      </w:r>
    </w:p>
    <w:p w14:paraId="43652853" w14:textId="77777777" w:rsidR="00836870" w:rsidRDefault="00836870" w:rsidP="00DF7AAA">
      <w:pPr>
        <w:spacing w:after="0" w:line="360" w:lineRule="auto"/>
        <w:ind w:left="850" w:hanging="425"/>
      </w:pPr>
    </w:p>
    <w:p w14:paraId="1F3727DB" w14:textId="0B8B7BB6" w:rsidR="00C86641" w:rsidRDefault="00A0781E" w:rsidP="00DF7AAA">
      <w:pPr>
        <w:numPr>
          <w:ilvl w:val="0"/>
          <w:numId w:val="40"/>
        </w:numPr>
        <w:spacing w:after="0" w:line="360" w:lineRule="auto"/>
        <w:ind w:left="850" w:hanging="425"/>
      </w:pPr>
      <w:r>
        <w:t>D</w:t>
      </w:r>
      <w:r w:rsidR="00FF7ACF" w:rsidRPr="00FF7ACF">
        <w:t xml:space="preserve">ie Gesellschaft </w:t>
      </w:r>
      <w:r>
        <w:t xml:space="preserve">kann auch </w:t>
      </w:r>
      <w:r w:rsidR="00FF7ACF" w:rsidRPr="00FF7ACF">
        <w:t>durch einen Geschäftsführer in Gemeinschaft mit</w:t>
      </w:r>
      <w:r w:rsidR="00836870">
        <w:t xml:space="preserve"> </w:t>
      </w:r>
      <w:r w:rsidR="00836870">
        <w:br/>
      </w:r>
      <w:r w:rsidR="00FF7ACF" w:rsidRPr="00FF7ACF">
        <w:t>einem Prokuristen vertreten</w:t>
      </w:r>
      <w:r>
        <w:t xml:space="preserve"> werden</w:t>
      </w:r>
      <w:r w:rsidR="00FF7ACF" w:rsidRPr="00FF7ACF">
        <w:t>.</w:t>
      </w:r>
    </w:p>
    <w:p w14:paraId="2729980E" w14:textId="77777777" w:rsidR="00836870" w:rsidRDefault="00836870" w:rsidP="00DF7AAA">
      <w:pPr>
        <w:spacing w:after="0" w:line="360" w:lineRule="auto"/>
        <w:ind w:left="850" w:hanging="425"/>
      </w:pPr>
    </w:p>
    <w:p w14:paraId="2200B1FC" w14:textId="6AD53E96" w:rsidR="00FF7ACF" w:rsidRDefault="00C35A12" w:rsidP="00DF7AAA">
      <w:pPr>
        <w:numPr>
          <w:ilvl w:val="0"/>
          <w:numId w:val="40"/>
        </w:numPr>
        <w:spacing w:after="0" w:line="360" w:lineRule="auto"/>
        <w:ind w:left="850" w:hanging="425"/>
        <w:rPr>
          <w:i/>
        </w:rPr>
      </w:pPr>
      <w:r w:rsidRPr="00DF7AAA">
        <w:rPr>
          <w:b/>
          <w:i/>
        </w:rPr>
        <w:t>Optional:</w:t>
      </w:r>
      <w:r w:rsidRPr="00441011">
        <w:rPr>
          <w:i/>
        </w:rPr>
        <w:t xml:space="preserve"> </w:t>
      </w:r>
      <w:r w:rsidR="00FF7ACF" w:rsidRPr="00441011">
        <w:rPr>
          <w:i/>
        </w:rPr>
        <w:t xml:space="preserve">Die Gesellschafterversammlung kann </w:t>
      </w:r>
      <w:r w:rsidR="00540251">
        <w:rPr>
          <w:i/>
        </w:rPr>
        <w:t xml:space="preserve">mit </w:t>
      </w:r>
      <w:r w:rsidR="0067017B">
        <w:rPr>
          <w:i/>
        </w:rPr>
        <w:t xml:space="preserve">einer Mehrheit von </w:t>
      </w:r>
      <w:r w:rsidR="00515FB6">
        <w:rPr>
          <w:i/>
        </w:rPr>
        <w:t xml:space="preserve">… </w:t>
      </w:r>
      <w:r w:rsidR="00540251">
        <w:rPr>
          <w:i/>
        </w:rPr>
        <w:t xml:space="preserve">% der abgegebenen Stimmen </w:t>
      </w:r>
      <w:r w:rsidR="00FF7ACF" w:rsidRPr="00441011">
        <w:rPr>
          <w:i/>
        </w:rPr>
        <w:t>einem, mehreren oder allen Geschäftsführern</w:t>
      </w:r>
      <w:r w:rsidR="00354EE5" w:rsidRPr="00441011">
        <w:rPr>
          <w:i/>
        </w:rPr>
        <w:t xml:space="preserve"> </w:t>
      </w:r>
      <w:r w:rsidR="00BD49AF" w:rsidRPr="00441011">
        <w:rPr>
          <w:i/>
        </w:rPr>
        <w:t xml:space="preserve">generell eine </w:t>
      </w:r>
      <w:r w:rsidR="00354EE5" w:rsidRPr="00441011">
        <w:rPr>
          <w:i/>
        </w:rPr>
        <w:t>Einzelvertretung</w:t>
      </w:r>
      <w:r w:rsidR="003C123C">
        <w:rPr>
          <w:i/>
        </w:rPr>
        <w:t>sbefugnis</w:t>
      </w:r>
      <w:r w:rsidR="00354EE5" w:rsidRPr="00441011">
        <w:rPr>
          <w:i/>
        </w:rPr>
        <w:t xml:space="preserve"> der </w:t>
      </w:r>
      <w:r w:rsidR="00FF7ACF" w:rsidRPr="00441011">
        <w:rPr>
          <w:i/>
        </w:rPr>
        <w:t xml:space="preserve">Gesellschaft </w:t>
      </w:r>
      <w:r w:rsidR="00354EE5" w:rsidRPr="00441011">
        <w:rPr>
          <w:i/>
        </w:rPr>
        <w:t xml:space="preserve">einräumen </w:t>
      </w:r>
      <w:r w:rsidR="00FF7ACF" w:rsidRPr="00441011">
        <w:rPr>
          <w:i/>
        </w:rPr>
        <w:t xml:space="preserve">und </w:t>
      </w:r>
      <w:r w:rsidR="00354EE5" w:rsidRPr="00441011">
        <w:rPr>
          <w:i/>
        </w:rPr>
        <w:t xml:space="preserve">auch </w:t>
      </w:r>
      <w:r w:rsidR="00FF7ACF" w:rsidRPr="00441011">
        <w:rPr>
          <w:i/>
        </w:rPr>
        <w:t>Befreiung von den Beschränkungen des § 181 BGB erteilen.</w:t>
      </w:r>
    </w:p>
    <w:p w14:paraId="11CEE1D4" w14:textId="77777777" w:rsidR="00836870" w:rsidRPr="00441011" w:rsidRDefault="00836870" w:rsidP="00DF7AAA">
      <w:pPr>
        <w:spacing w:after="0" w:line="360" w:lineRule="auto"/>
        <w:rPr>
          <w:i/>
        </w:rPr>
      </w:pPr>
    </w:p>
    <w:p w14:paraId="0FB8D795" w14:textId="44146ADE" w:rsidR="00FF7ACF" w:rsidRPr="00FF7ACF" w:rsidRDefault="00FF7ACF" w:rsidP="00836870">
      <w:pPr>
        <w:numPr>
          <w:ilvl w:val="0"/>
          <w:numId w:val="18"/>
        </w:numPr>
        <w:spacing w:after="0" w:line="360" w:lineRule="auto"/>
        <w:ind w:left="426" w:hanging="426"/>
      </w:pPr>
      <w:r w:rsidRPr="00FF7ACF">
        <w:t xml:space="preserve">Zu Prokuristen </w:t>
      </w:r>
      <w:r w:rsidR="00481638">
        <w:t xml:space="preserve">und zu Handlungsbevollmächtigten zum gesamten Geschäftsbetrieb </w:t>
      </w:r>
      <w:r w:rsidRPr="00FF7ACF">
        <w:t xml:space="preserve">können </w:t>
      </w:r>
      <w:r w:rsidR="00481638">
        <w:t xml:space="preserve">lediglich </w:t>
      </w:r>
      <w:r w:rsidR="00354EE5">
        <w:t xml:space="preserve">Steuerberater, Steuerbevollmächtigte oder </w:t>
      </w:r>
      <w:r w:rsidR="00341EC5">
        <w:t>Angehörige eines der in §</w:t>
      </w:r>
      <w:r w:rsidR="00086371">
        <w:t> </w:t>
      </w:r>
      <w:r w:rsidR="00341EC5">
        <w:t>50 Abs. 1 S</w:t>
      </w:r>
      <w:r w:rsidR="00DF7AAA">
        <w:t>atz</w:t>
      </w:r>
      <w:r w:rsidR="00341EC5">
        <w:t xml:space="preserve"> 1 StBerG genannten</w:t>
      </w:r>
      <w:r w:rsidR="000C7893">
        <w:t xml:space="preserve"> </w:t>
      </w:r>
      <w:r w:rsidR="00341EC5">
        <w:t>Berufe</w:t>
      </w:r>
      <w:r w:rsidR="00354EE5">
        <w:t xml:space="preserve"> bestellt werden</w:t>
      </w:r>
      <w:r w:rsidRPr="00FF7ACF">
        <w:t>.</w:t>
      </w:r>
      <w:r w:rsidR="00280015">
        <w:rPr>
          <w:rStyle w:val="Funotenzeichen"/>
        </w:rPr>
        <w:footnoteReference w:id="16"/>
      </w:r>
    </w:p>
    <w:p w14:paraId="62E2D90C" w14:textId="77777777" w:rsidR="00AE7827" w:rsidRPr="00DF7AAA" w:rsidRDefault="00AE7827" w:rsidP="00DF7AAA">
      <w:pPr>
        <w:spacing w:after="0" w:line="360" w:lineRule="auto"/>
      </w:pPr>
    </w:p>
    <w:p w14:paraId="28E1275C" w14:textId="77777777" w:rsidR="00A225F1" w:rsidRPr="00F3517A" w:rsidRDefault="00AE7827" w:rsidP="00836870">
      <w:pPr>
        <w:spacing w:after="0" w:line="240" w:lineRule="auto"/>
        <w:jc w:val="center"/>
        <w:rPr>
          <w:b/>
          <w:i/>
        </w:rPr>
      </w:pPr>
      <w:r w:rsidRPr="00F3517A">
        <w:rPr>
          <w:b/>
          <w:i/>
        </w:rPr>
        <w:t xml:space="preserve">§ </w:t>
      </w:r>
      <w:r w:rsidR="00A225F1" w:rsidRPr="00F3517A">
        <w:rPr>
          <w:b/>
          <w:i/>
        </w:rPr>
        <w:t>9a</w:t>
      </w:r>
    </w:p>
    <w:p w14:paraId="27222823" w14:textId="7A865C69" w:rsidR="00A225F1" w:rsidRDefault="00A225F1" w:rsidP="00836870">
      <w:pPr>
        <w:spacing w:after="0" w:line="240" w:lineRule="auto"/>
        <w:jc w:val="center"/>
        <w:rPr>
          <w:b/>
          <w:i/>
        </w:rPr>
      </w:pPr>
      <w:r w:rsidRPr="00F3517A">
        <w:rPr>
          <w:b/>
          <w:i/>
        </w:rPr>
        <w:t>Optional:</w:t>
      </w:r>
      <w:r w:rsidRPr="00C33AF9">
        <w:rPr>
          <w:b/>
          <w:i/>
        </w:rPr>
        <w:t xml:space="preserve"> Aufsichtsrat/Beirat</w:t>
      </w:r>
    </w:p>
    <w:p w14:paraId="4A45098C" w14:textId="77777777" w:rsidR="00836870" w:rsidRPr="00836870" w:rsidRDefault="00836870" w:rsidP="00836870">
      <w:pPr>
        <w:spacing w:after="0" w:line="360" w:lineRule="auto"/>
        <w:rPr>
          <w:i/>
        </w:rPr>
      </w:pPr>
    </w:p>
    <w:p w14:paraId="646A8D98" w14:textId="54366DB1" w:rsidR="00A225F1" w:rsidRDefault="00A225F1" w:rsidP="00836870">
      <w:pPr>
        <w:numPr>
          <w:ilvl w:val="0"/>
          <w:numId w:val="42"/>
        </w:numPr>
        <w:spacing w:after="0" w:line="360" w:lineRule="auto"/>
        <w:ind w:left="425" w:hanging="425"/>
        <w:rPr>
          <w:i/>
        </w:rPr>
      </w:pPr>
      <w:r w:rsidRPr="00C33AF9">
        <w:rPr>
          <w:i/>
        </w:rPr>
        <w:t>Mitglieder des Aufsichtsrates/Beirates können nur Steuerberater, Steuerbevollmächtigte</w:t>
      </w:r>
      <w:r w:rsidR="006D2BC0">
        <w:rPr>
          <w:i/>
        </w:rPr>
        <w:t>, Wirtschaftsprüfer</w:t>
      </w:r>
      <w:r w:rsidRPr="00C33AF9">
        <w:rPr>
          <w:i/>
        </w:rPr>
        <w:t xml:space="preserve"> oder Angehörige eines der in § 50 Abs. 1 S</w:t>
      </w:r>
      <w:r w:rsidR="00836870">
        <w:rPr>
          <w:i/>
        </w:rPr>
        <w:t>atz</w:t>
      </w:r>
      <w:r w:rsidRPr="00C33AF9">
        <w:rPr>
          <w:i/>
        </w:rPr>
        <w:t xml:space="preserve"> 1 StBerG genannten</w:t>
      </w:r>
      <w:r w:rsidR="009A047F">
        <w:rPr>
          <w:i/>
        </w:rPr>
        <w:t xml:space="preserve"> </w:t>
      </w:r>
      <w:r w:rsidRPr="00C33AF9">
        <w:rPr>
          <w:i/>
        </w:rPr>
        <w:t xml:space="preserve">Berufe </w:t>
      </w:r>
      <w:r w:rsidR="00772303">
        <w:rPr>
          <w:i/>
        </w:rPr>
        <w:t xml:space="preserve">oder </w:t>
      </w:r>
      <w:r w:rsidR="00B11684">
        <w:rPr>
          <w:i/>
        </w:rPr>
        <w:t>Arbeitnehmer</w:t>
      </w:r>
      <w:r w:rsidR="006D2BC0">
        <w:rPr>
          <w:i/>
        </w:rPr>
        <w:t>-V</w:t>
      </w:r>
      <w:r w:rsidR="00B11684">
        <w:rPr>
          <w:i/>
        </w:rPr>
        <w:t>ertrete</w:t>
      </w:r>
      <w:r w:rsidR="00772303">
        <w:rPr>
          <w:i/>
        </w:rPr>
        <w:t xml:space="preserve">r nach den </w:t>
      </w:r>
      <w:r w:rsidR="00E90B1E">
        <w:rPr>
          <w:i/>
        </w:rPr>
        <w:t>Regelungen</w:t>
      </w:r>
      <w:r w:rsidR="00772303">
        <w:rPr>
          <w:i/>
        </w:rPr>
        <w:t xml:space="preserve"> zur Mitbestimmung </w:t>
      </w:r>
      <w:r w:rsidRPr="00C33AF9">
        <w:rPr>
          <w:i/>
        </w:rPr>
        <w:t>sein.</w:t>
      </w:r>
      <w:r w:rsidRPr="00C33AF9">
        <w:rPr>
          <w:rStyle w:val="Funotenzeichen"/>
          <w:i/>
        </w:rPr>
        <w:footnoteReference w:id="17"/>
      </w:r>
    </w:p>
    <w:p w14:paraId="6DB2633E" w14:textId="77777777" w:rsidR="00836870" w:rsidRPr="00C33AF9" w:rsidRDefault="00836870" w:rsidP="00836870">
      <w:pPr>
        <w:spacing w:after="0" w:line="360" w:lineRule="auto"/>
        <w:ind w:left="425" w:hanging="425"/>
        <w:rPr>
          <w:i/>
        </w:rPr>
      </w:pPr>
    </w:p>
    <w:p w14:paraId="54500B13" w14:textId="2AEA4A04" w:rsidR="00A225F1" w:rsidRPr="00DF7AAA" w:rsidRDefault="00A225F1" w:rsidP="009C20AB">
      <w:pPr>
        <w:numPr>
          <w:ilvl w:val="0"/>
          <w:numId w:val="42"/>
        </w:numPr>
        <w:spacing w:after="0" w:line="360" w:lineRule="auto"/>
        <w:ind w:left="425" w:hanging="425"/>
        <w:rPr>
          <w:i/>
        </w:rPr>
      </w:pPr>
      <w:r w:rsidRPr="00DF7AAA">
        <w:rPr>
          <w:i/>
        </w:rPr>
        <w:t xml:space="preserve">Aufgaben des Aufsichtsrates: Da diverse Möglichkeiten bzw. Konstellationen denkbar sind und keine unmittelbaren berufsrechtlichen Vorgaben bestehen, macht das Muster hier keine Vorgaben. Die Aufsichtsratsregelung ist daher von den Gesellschaftern im konkreten Einzelfall – </w:t>
      </w:r>
      <w:r w:rsidRPr="0080017C">
        <w:t>g</w:t>
      </w:r>
      <w:r w:rsidR="00DF7AAA">
        <w:t>gf.</w:t>
      </w:r>
      <w:r w:rsidRPr="00DF7AAA">
        <w:rPr>
          <w:i/>
        </w:rPr>
        <w:t xml:space="preserve"> mit</w:t>
      </w:r>
      <w:r w:rsidR="00DF7AAA" w:rsidRPr="00DF7AAA">
        <w:rPr>
          <w:i/>
        </w:rPr>
        <w:t>h</w:t>
      </w:r>
      <w:r w:rsidRPr="00DF7AAA">
        <w:rPr>
          <w:i/>
        </w:rPr>
        <w:t xml:space="preserve">ilfe eines Notars oder Rechtsberaters </w:t>
      </w:r>
      <w:r w:rsidR="00DF7AAA" w:rsidRPr="00DF7AAA">
        <w:rPr>
          <w:i/>
        </w:rPr>
        <w:t>–</w:t>
      </w:r>
      <w:r w:rsidRPr="00DF7AAA">
        <w:rPr>
          <w:i/>
        </w:rPr>
        <w:t xml:space="preserve"> zu bestimmen.</w:t>
      </w:r>
    </w:p>
    <w:p w14:paraId="4E83CBD2" w14:textId="77777777" w:rsidR="00A225F1" w:rsidRPr="00DF7AAA" w:rsidRDefault="00A225F1" w:rsidP="00836870">
      <w:pPr>
        <w:spacing w:after="0" w:line="360" w:lineRule="auto"/>
        <w:ind w:hanging="425"/>
        <w:jc w:val="center"/>
      </w:pPr>
    </w:p>
    <w:p w14:paraId="4BE86F58" w14:textId="77777777" w:rsidR="00DF7AAA" w:rsidRDefault="00DF7AAA">
      <w:pPr>
        <w:spacing w:after="0" w:line="240" w:lineRule="auto"/>
        <w:rPr>
          <w:b/>
        </w:rPr>
      </w:pPr>
      <w:r>
        <w:rPr>
          <w:b/>
        </w:rPr>
        <w:br w:type="page"/>
      </w:r>
    </w:p>
    <w:p w14:paraId="33AD84A4" w14:textId="79264315" w:rsidR="00AE7827" w:rsidRDefault="00A225F1" w:rsidP="00836870">
      <w:pPr>
        <w:spacing w:after="0" w:line="240" w:lineRule="auto"/>
        <w:jc w:val="center"/>
        <w:rPr>
          <w:b/>
        </w:rPr>
      </w:pPr>
      <w:r>
        <w:rPr>
          <w:b/>
        </w:rPr>
        <w:lastRenderedPageBreak/>
        <w:t xml:space="preserve">§ </w:t>
      </w:r>
      <w:r w:rsidR="008F08B0">
        <w:rPr>
          <w:b/>
        </w:rPr>
        <w:t>1</w:t>
      </w:r>
      <w:r w:rsidR="002B1C3F">
        <w:rPr>
          <w:b/>
        </w:rPr>
        <w:t>0</w:t>
      </w:r>
    </w:p>
    <w:p w14:paraId="22C654E8" w14:textId="7D074F4E" w:rsidR="00AE7827" w:rsidRDefault="00AE7827" w:rsidP="00836870">
      <w:pPr>
        <w:spacing w:after="0" w:line="240" w:lineRule="auto"/>
        <w:jc w:val="center"/>
        <w:rPr>
          <w:b/>
        </w:rPr>
      </w:pPr>
      <w:r>
        <w:rPr>
          <w:b/>
        </w:rPr>
        <w:t>Gesellschafterversammlung</w:t>
      </w:r>
      <w:r w:rsidR="007C3158">
        <w:rPr>
          <w:b/>
        </w:rPr>
        <w:t xml:space="preserve"> und Beschlussfassung</w:t>
      </w:r>
      <w:r w:rsidR="003A2C09">
        <w:rPr>
          <w:b/>
        </w:rPr>
        <w:t xml:space="preserve"> der Gesellschafter</w:t>
      </w:r>
    </w:p>
    <w:p w14:paraId="1C7A54EE" w14:textId="77777777" w:rsidR="00836870" w:rsidRDefault="00836870" w:rsidP="00836870">
      <w:pPr>
        <w:spacing w:after="0" w:line="360" w:lineRule="auto"/>
        <w:jc w:val="center"/>
      </w:pPr>
    </w:p>
    <w:p w14:paraId="2DB40D24" w14:textId="7C266EBE" w:rsidR="003318E7" w:rsidRDefault="003318E7" w:rsidP="00836870">
      <w:pPr>
        <w:numPr>
          <w:ilvl w:val="0"/>
          <w:numId w:val="20"/>
        </w:numPr>
        <w:spacing w:after="0" w:line="360" w:lineRule="auto"/>
        <w:ind w:left="425" w:hanging="425"/>
        <w:rPr>
          <w:i/>
        </w:rPr>
      </w:pPr>
      <w:r>
        <w:t xml:space="preserve">Beschlüsse der Gesellschafter werden in Gesellschafterversammlungen gefasst. </w:t>
      </w:r>
      <w:r w:rsidR="00FF6EDA">
        <w:br/>
      </w:r>
      <w:r>
        <w:t>Außerhalb einer Gesellschafterversammlung können Beschlüsse der Gesellschafter in schriftlich</w:t>
      </w:r>
      <w:r w:rsidR="00566517">
        <w:t>er</w:t>
      </w:r>
      <w:r>
        <w:t xml:space="preserve"> oder in elektronischer Form (§ 126a BGB) gefasst werden, wenn kein Gesellschafter widerspricht.</w:t>
      </w:r>
      <w:r w:rsidRPr="003318E7">
        <w:t xml:space="preserve"> </w:t>
      </w:r>
      <w:r>
        <w:t>Die Beschlussfassung entspricht dann derjenigen zu den in der Gesellschafterversammlung gefassten Beschlüssen</w:t>
      </w:r>
      <w:r w:rsidR="0007641C">
        <w:t xml:space="preserve">. </w:t>
      </w:r>
      <w:r w:rsidR="0007641C" w:rsidRPr="00DF7AAA">
        <w:rPr>
          <w:b/>
          <w:i/>
        </w:rPr>
        <w:t>Optional:</w:t>
      </w:r>
      <w:r w:rsidR="0007641C" w:rsidRPr="00C75939">
        <w:rPr>
          <w:i/>
        </w:rPr>
        <w:t xml:space="preserve"> </w:t>
      </w:r>
      <w:r w:rsidR="00C75939" w:rsidRPr="00441011">
        <w:rPr>
          <w:i/>
        </w:rPr>
        <w:t>Gesellschafterversammlungen können auf Entscheidung der Geschäftsführung auch im Wege einer Telefon- oder Videokonferenz durchgeführt werden. Die Teilnahme an Gesellschafterversammlungen im Wege einer Telefon- oder Videoübertragung steht der physischen Teilnahme gleich</w:t>
      </w:r>
      <w:r w:rsidRPr="00441011">
        <w:rPr>
          <w:i/>
        </w:rPr>
        <w:t>.</w:t>
      </w:r>
    </w:p>
    <w:p w14:paraId="6973573F" w14:textId="77777777" w:rsidR="00FF6EDA" w:rsidRPr="00441011" w:rsidRDefault="00FF6EDA" w:rsidP="00FF6EDA">
      <w:pPr>
        <w:spacing w:after="0" w:line="360" w:lineRule="auto"/>
        <w:ind w:left="425"/>
        <w:rPr>
          <w:i/>
        </w:rPr>
      </w:pPr>
    </w:p>
    <w:p w14:paraId="6F68F524" w14:textId="7E774E81" w:rsidR="00AE7827" w:rsidRDefault="00AE7827" w:rsidP="00836870">
      <w:pPr>
        <w:numPr>
          <w:ilvl w:val="0"/>
          <w:numId w:val="20"/>
        </w:numPr>
        <w:spacing w:after="0" w:line="360" w:lineRule="auto"/>
        <w:ind w:left="425" w:hanging="425"/>
      </w:pPr>
      <w:r>
        <w:t xml:space="preserve">Die Gesellschafterversammlung ist durch die Geschäftsführung </w:t>
      </w:r>
      <w:r w:rsidR="00EC5E9E">
        <w:t xml:space="preserve">in Textform </w:t>
      </w:r>
      <w:r>
        <w:t>einzuberufen.</w:t>
      </w:r>
    </w:p>
    <w:p w14:paraId="20D93646" w14:textId="77777777" w:rsidR="00FF6EDA" w:rsidRPr="00DF7AAA" w:rsidRDefault="00FF6EDA" w:rsidP="00FF6EDA">
      <w:pPr>
        <w:spacing w:after="0" w:line="360" w:lineRule="auto"/>
        <w:ind w:left="425"/>
      </w:pPr>
    </w:p>
    <w:p w14:paraId="289168D4" w14:textId="4803E0BD" w:rsidR="00AE7827" w:rsidRPr="00FF6EDA" w:rsidRDefault="00AE7827" w:rsidP="00836870">
      <w:pPr>
        <w:numPr>
          <w:ilvl w:val="0"/>
          <w:numId w:val="20"/>
        </w:numPr>
        <w:spacing w:after="0" w:line="360" w:lineRule="auto"/>
        <w:ind w:left="425" w:hanging="425"/>
        <w:rPr>
          <w:i/>
        </w:rPr>
      </w:pPr>
      <w:r w:rsidRPr="00DF7AAA">
        <w:t>D</w:t>
      </w:r>
      <w:r>
        <w:t>ie Frist zur Einberufung beträgt zwei Wochen. Mit der Ladung zur Gesellschafterver</w:t>
      </w:r>
      <w:r>
        <w:softHyphen/>
        <w:t>sammlung soll den Gesellschaftern eine Tagesordnung über die Punkte, die zur Be</w:t>
      </w:r>
      <w:r>
        <w:softHyphen/>
        <w:t>schlussfassung anstehen, bekannt gegeben werden.</w:t>
      </w:r>
      <w:r w:rsidR="00EC5E9E">
        <w:t xml:space="preserve"> </w:t>
      </w:r>
      <w:r>
        <w:t xml:space="preserve">Die Gesellschafterversammlung ist beschlussfähig, wenn die </w:t>
      </w:r>
      <w:r w:rsidR="0007641C">
        <w:t>anwesenden</w:t>
      </w:r>
      <w:r w:rsidR="00FC6D4D">
        <w:t>, bei der Entscheidung stimmberechtigten</w:t>
      </w:r>
      <w:r>
        <w:t xml:space="preserve"> Gesellschafter mindestens die Hälfte des </w:t>
      </w:r>
      <w:r w:rsidR="00FC6D4D">
        <w:t xml:space="preserve">stimmberechtigten </w:t>
      </w:r>
      <w:r>
        <w:t xml:space="preserve">Stammkapitals vertreten. Kommt eine beschlussfähige Versammlung nicht zustande, so ist </w:t>
      </w:r>
      <w:r w:rsidR="00EC5E9E">
        <w:t xml:space="preserve">mit einem Abstand von mindestens </w:t>
      </w:r>
      <w:r w:rsidR="00C5003D">
        <w:t xml:space="preserve">… </w:t>
      </w:r>
      <w:r w:rsidR="00EC5E9E">
        <w:t xml:space="preserve">Werktagen </w:t>
      </w:r>
      <w:r>
        <w:t>eine neue Versammlung einzuberufen, die dann ohne Rücksicht auf die Höhe des vertretenen Stammkapitals beschlussfähig ist.</w:t>
      </w:r>
    </w:p>
    <w:p w14:paraId="57D18D2C" w14:textId="77777777" w:rsidR="00FF6EDA" w:rsidRPr="00441011" w:rsidRDefault="00FF6EDA" w:rsidP="00FF6EDA">
      <w:pPr>
        <w:spacing w:after="0" w:line="360" w:lineRule="auto"/>
        <w:ind w:left="425"/>
        <w:rPr>
          <w:i/>
        </w:rPr>
      </w:pPr>
    </w:p>
    <w:p w14:paraId="6D6F6581" w14:textId="49DA494C" w:rsidR="00042BBA" w:rsidRDefault="007C3158" w:rsidP="00836870">
      <w:pPr>
        <w:numPr>
          <w:ilvl w:val="0"/>
          <w:numId w:val="20"/>
        </w:numPr>
        <w:spacing w:after="0" w:line="360" w:lineRule="auto"/>
        <w:ind w:left="425" w:hanging="425"/>
      </w:pPr>
      <w:r>
        <w:t>Beschlüsse der Gesellschafter</w:t>
      </w:r>
      <w:r w:rsidR="006C38A1">
        <w:t>versammlung</w:t>
      </w:r>
      <w:r>
        <w:t xml:space="preserve"> werden mit einfacher Mehrheit der abgegebenen Stimmen gefasst, soweit das Gesetz</w:t>
      </w:r>
      <w:r w:rsidR="00086371">
        <w:t xml:space="preserve"> oder</w:t>
      </w:r>
      <w:r w:rsidR="000C144E">
        <w:t xml:space="preserve"> </w:t>
      </w:r>
      <w:r w:rsidR="000C144E" w:rsidRPr="00086371">
        <w:t xml:space="preserve">der Gesellschaftsvertrag </w:t>
      </w:r>
      <w:r w:rsidR="006C38A1">
        <w:t xml:space="preserve">für bestimmte Fälle </w:t>
      </w:r>
      <w:r>
        <w:t>nicht eine andere Mehrheit vors</w:t>
      </w:r>
      <w:r w:rsidR="006C38A1">
        <w:t>ieh</w:t>
      </w:r>
      <w:r>
        <w:t>t. Auf je 1</w:t>
      </w:r>
      <w:r w:rsidR="00FF6EDA">
        <w:t>,00</w:t>
      </w:r>
      <w:r>
        <w:t xml:space="preserve"> € Nennbetrag eines Geschäftsanteils entfällt eine Stimme.</w:t>
      </w:r>
    </w:p>
    <w:p w14:paraId="563AB423" w14:textId="77777777" w:rsidR="00FF6EDA" w:rsidRDefault="00FF6EDA" w:rsidP="00FF6EDA">
      <w:pPr>
        <w:spacing w:after="0" w:line="360" w:lineRule="auto"/>
        <w:ind w:left="425"/>
      </w:pPr>
    </w:p>
    <w:p w14:paraId="6595F38E" w14:textId="2E65E2CD" w:rsidR="007C3158" w:rsidRDefault="007C3158" w:rsidP="00FF6EDA">
      <w:pPr>
        <w:numPr>
          <w:ilvl w:val="0"/>
          <w:numId w:val="20"/>
        </w:numPr>
        <w:spacing w:after="0" w:line="360" w:lineRule="auto"/>
        <w:ind w:left="425" w:hanging="425"/>
      </w:pPr>
      <w:r>
        <w:t xml:space="preserve">Gesellschafter können nur </w:t>
      </w:r>
      <w:r w:rsidR="00FC6D4D">
        <w:t xml:space="preserve">bei der Entscheidung </w:t>
      </w:r>
      <w:r>
        <w:t>stimmberechtigte Gesellschafter zur Ausübung von Gesellschafterrechten bevollmächtigen</w:t>
      </w:r>
      <w:r w:rsidR="00042BBA">
        <w:t>.</w:t>
      </w:r>
      <w:r w:rsidR="00280015">
        <w:rPr>
          <w:rStyle w:val="Funotenzeichen"/>
        </w:rPr>
        <w:footnoteReference w:id="18"/>
      </w:r>
      <w:r>
        <w:t xml:space="preserve"> </w:t>
      </w:r>
    </w:p>
    <w:p w14:paraId="15BA8DAB" w14:textId="77777777" w:rsidR="00FF6EDA" w:rsidRDefault="00FF6EDA" w:rsidP="00FF6EDA">
      <w:pPr>
        <w:spacing w:after="0" w:line="360" w:lineRule="auto"/>
        <w:ind w:left="425"/>
      </w:pPr>
    </w:p>
    <w:p w14:paraId="44AD8BCB" w14:textId="30D99FA1" w:rsidR="007C3158" w:rsidRPr="00FF6EDA" w:rsidRDefault="007C3158" w:rsidP="00FF6EDA">
      <w:pPr>
        <w:numPr>
          <w:ilvl w:val="0"/>
          <w:numId w:val="20"/>
        </w:numPr>
        <w:spacing w:after="0" w:line="360" w:lineRule="auto"/>
        <w:ind w:left="425" w:hanging="425"/>
      </w:pPr>
      <w:r>
        <w:t>Sofern Gesellschafter</w:t>
      </w:r>
      <w:r w:rsidR="00A0364D">
        <w:t xml:space="preserve"> </w:t>
      </w:r>
      <w:r>
        <w:t>die Voraussetzungen des § 50 Abs. 1 StBerG nicht erfüllen, haben sie kein Stimmrecht</w:t>
      </w:r>
      <w:r w:rsidR="00042BBA">
        <w:t>.</w:t>
      </w:r>
      <w:r w:rsidR="00280015">
        <w:rPr>
          <w:rStyle w:val="Funotenzeichen"/>
        </w:rPr>
        <w:footnoteReference w:id="19"/>
      </w:r>
      <w:r w:rsidR="009025D7" w:rsidRPr="00042BBA">
        <w:rPr>
          <w:highlight w:val="yellow"/>
        </w:rPr>
        <w:t xml:space="preserve"> </w:t>
      </w:r>
    </w:p>
    <w:p w14:paraId="27CDBA68" w14:textId="77777777" w:rsidR="00FF6EDA" w:rsidRDefault="00FF6EDA" w:rsidP="00FF6EDA">
      <w:pPr>
        <w:spacing w:after="0" w:line="360" w:lineRule="auto"/>
        <w:ind w:left="425"/>
      </w:pPr>
    </w:p>
    <w:p w14:paraId="50D8B23A" w14:textId="5EE4F60C" w:rsidR="003318E7" w:rsidRDefault="006C38A1" w:rsidP="00FF6EDA">
      <w:pPr>
        <w:numPr>
          <w:ilvl w:val="0"/>
          <w:numId w:val="20"/>
        </w:numPr>
        <w:spacing w:after="0" w:line="360" w:lineRule="auto"/>
        <w:ind w:left="426" w:hanging="426"/>
      </w:pPr>
      <w:r>
        <w:t>Abgesehen von</w:t>
      </w:r>
      <w:r w:rsidR="007C3158">
        <w:t xml:space="preserve"> den </w:t>
      </w:r>
      <w:r w:rsidR="00042BBA">
        <w:t>nach dem Gesellschaftsrecht für eine GmbH</w:t>
      </w:r>
      <w:r w:rsidR="007C3158">
        <w:t xml:space="preserve"> geregelten </w:t>
      </w:r>
      <w:r>
        <w:t>Fällen</w:t>
      </w:r>
      <w:r w:rsidR="007C3158">
        <w:t xml:space="preserve"> bedarf es </w:t>
      </w:r>
      <w:r w:rsidR="00F157E4">
        <w:t>eines</w:t>
      </w:r>
      <w:r w:rsidR="007C3158">
        <w:t xml:space="preserve"> Beschlusses der Gesellschafter</w:t>
      </w:r>
      <w:r w:rsidR="00C75939">
        <w:t xml:space="preserve"> </w:t>
      </w:r>
      <w:r w:rsidR="00C75939" w:rsidRPr="00DF7AAA">
        <w:rPr>
          <w:b/>
          <w:i/>
        </w:rPr>
        <w:t>Optional:</w:t>
      </w:r>
      <w:r w:rsidR="00C75939" w:rsidRPr="00441011">
        <w:rPr>
          <w:i/>
        </w:rPr>
        <w:t xml:space="preserve"> mit qualifizierter Mehrheit von </w:t>
      </w:r>
      <w:r w:rsidR="00772303">
        <w:rPr>
          <w:i/>
        </w:rPr>
        <w:t xml:space="preserve">… </w:t>
      </w:r>
      <w:r w:rsidR="00C75939" w:rsidRPr="00441011">
        <w:rPr>
          <w:i/>
        </w:rPr>
        <w:t>%</w:t>
      </w:r>
      <w:r w:rsidR="00042BBA" w:rsidRPr="00441011">
        <w:rPr>
          <w:i/>
        </w:rPr>
        <w:t xml:space="preserve"> </w:t>
      </w:r>
      <w:r w:rsidR="007C3158" w:rsidRPr="00441011">
        <w:rPr>
          <w:i/>
        </w:rPr>
        <w:t>für</w:t>
      </w:r>
    </w:p>
    <w:p w14:paraId="243A3FDA" w14:textId="10F8FEAE" w:rsidR="007C3158" w:rsidRDefault="007C3158" w:rsidP="00FF6EDA">
      <w:pPr>
        <w:spacing w:after="0" w:line="360" w:lineRule="auto"/>
        <w:ind w:left="709" w:hanging="284"/>
      </w:pPr>
      <w:r>
        <w:t>-</w:t>
      </w:r>
      <w:r w:rsidR="00C75939">
        <w:tab/>
      </w:r>
      <w:r>
        <w:t>die Veräußerung des Geschäftsbetriebes,</w:t>
      </w:r>
    </w:p>
    <w:p w14:paraId="69B04D6F" w14:textId="09943706" w:rsidR="007C3158" w:rsidRDefault="007C3158" w:rsidP="00FF6EDA">
      <w:pPr>
        <w:spacing w:after="0" w:line="360" w:lineRule="auto"/>
        <w:ind w:left="709" w:hanging="284"/>
      </w:pPr>
      <w:r>
        <w:t>-</w:t>
      </w:r>
      <w:r>
        <w:tab/>
        <w:t xml:space="preserve">die Errichtung oder Auflösung von </w:t>
      </w:r>
      <w:r w:rsidR="00772303">
        <w:t xml:space="preserve">Niederlassungen oder </w:t>
      </w:r>
      <w:r>
        <w:t>Zweigniederlassungen</w:t>
      </w:r>
      <w:r w:rsidR="00F77611">
        <w:rPr>
          <w:rStyle w:val="Funotenzeichen"/>
        </w:rPr>
        <w:footnoteReference w:id="20"/>
      </w:r>
      <w:r>
        <w:t xml:space="preserve">; </w:t>
      </w:r>
      <w:r w:rsidRPr="003318E7">
        <w:t xml:space="preserve">bei der Auflösung einer </w:t>
      </w:r>
      <w:r w:rsidR="003318E7">
        <w:t xml:space="preserve">berufsrechtswidrig unterhaltenen </w:t>
      </w:r>
      <w:r w:rsidR="00772303">
        <w:t xml:space="preserve">Niederlassung oder </w:t>
      </w:r>
      <w:r w:rsidRPr="003318E7">
        <w:t>Zweigniederlassung gilt der Vorbehalt nicht</w:t>
      </w:r>
      <w:r w:rsidR="00280015">
        <w:t>,</w:t>
      </w:r>
    </w:p>
    <w:p w14:paraId="2B9780DB" w14:textId="1A74F63C" w:rsidR="007C3158" w:rsidRDefault="007C3158" w:rsidP="00FF6EDA">
      <w:pPr>
        <w:spacing w:after="0" w:line="360" w:lineRule="auto"/>
        <w:ind w:left="709" w:hanging="284"/>
      </w:pPr>
      <w:r>
        <w:t>-</w:t>
      </w:r>
      <w:r>
        <w:tab/>
        <w:t>den Erwerb, die Veräußerung oder die Belastung von Grundstücken oder grund</w:t>
      </w:r>
      <w:r>
        <w:softHyphen/>
        <w:t>stücksgleichen Rechten,</w:t>
      </w:r>
    </w:p>
    <w:p w14:paraId="14171618" w14:textId="77777777" w:rsidR="00FF6EDA" w:rsidRDefault="00FF6EDA" w:rsidP="00FF6EDA">
      <w:pPr>
        <w:spacing w:after="0" w:line="360" w:lineRule="auto"/>
      </w:pPr>
    </w:p>
    <w:p w14:paraId="467E14F8" w14:textId="5F5CC825" w:rsidR="00781A05" w:rsidRDefault="007C3158" w:rsidP="00FF6EDA">
      <w:pPr>
        <w:numPr>
          <w:ilvl w:val="0"/>
          <w:numId w:val="20"/>
        </w:numPr>
        <w:spacing w:after="0" w:line="360" w:lineRule="auto"/>
        <w:ind w:left="426" w:hanging="426"/>
      </w:pPr>
      <w:r w:rsidRPr="007C3158">
        <w:t xml:space="preserve">Die </w:t>
      </w:r>
      <w:r w:rsidR="002271A0">
        <w:t xml:space="preserve">berufliche </w:t>
      </w:r>
      <w:r w:rsidRPr="007C3158">
        <w:t xml:space="preserve">Unabhängigkeit der </w:t>
      </w:r>
      <w:r w:rsidR="003318E7">
        <w:t>Steuerberater, Steuerbevollmächtigte</w:t>
      </w:r>
      <w:r w:rsidR="002271A0">
        <w:t>n</w:t>
      </w:r>
      <w:r w:rsidR="003318E7">
        <w:t xml:space="preserve"> oder </w:t>
      </w:r>
      <w:r w:rsidR="00310E0E">
        <w:t>Angehörigen eines der in § 50 Abs. 1 S</w:t>
      </w:r>
      <w:r w:rsidR="00FF6EDA">
        <w:t>atz</w:t>
      </w:r>
      <w:r w:rsidR="00310E0E">
        <w:t xml:space="preserve"> 1 StBerG genannten Berufe</w:t>
      </w:r>
      <w:r w:rsidR="002271A0">
        <w:t xml:space="preserve">, die die Geschäftsführung der Gesellschaft </w:t>
      </w:r>
      <w:r w:rsidRPr="007C3158">
        <w:t xml:space="preserve">oder in sonstiger Weise </w:t>
      </w:r>
      <w:r w:rsidR="002271A0">
        <w:t>deren</w:t>
      </w:r>
      <w:r w:rsidRPr="007C3158">
        <w:t xml:space="preserve"> Vertretung wahrnehmen, ist </w:t>
      </w:r>
      <w:r w:rsidR="002271A0">
        <w:t xml:space="preserve">seitens der Gesellschafter </w:t>
      </w:r>
      <w:r w:rsidRPr="007C3158">
        <w:t xml:space="preserve">zu gewährleisten. </w:t>
      </w:r>
      <w:r w:rsidR="00086371">
        <w:t>Eine d</w:t>
      </w:r>
      <w:r w:rsidR="00310E0E">
        <w:t xml:space="preserve">em entgegenstehende </w:t>
      </w:r>
      <w:r w:rsidRPr="007C3158">
        <w:t xml:space="preserve">Einflussnahme durch die Gesellschafter, insbesondere durch Weisungen oder vertragliche Bindungen, </w:t>
      </w:r>
      <w:r w:rsidR="00086371">
        <w:t xml:space="preserve">ist </w:t>
      </w:r>
      <w:r w:rsidRPr="007C3158">
        <w:t>unzulässig</w:t>
      </w:r>
      <w:r w:rsidR="002271A0">
        <w:t>.</w:t>
      </w:r>
      <w:r w:rsidR="00280015">
        <w:rPr>
          <w:rStyle w:val="Funotenzeichen"/>
        </w:rPr>
        <w:footnoteReference w:id="21"/>
      </w:r>
    </w:p>
    <w:p w14:paraId="05772B41" w14:textId="77777777" w:rsidR="00FF6EDA" w:rsidRDefault="00FF6EDA" w:rsidP="00FF6EDA">
      <w:pPr>
        <w:spacing w:after="0" w:line="360" w:lineRule="auto"/>
        <w:ind w:left="426"/>
      </w:pPr>
    </w:p>
    <w:p w14:paraId="5B64F96B" w14:textId="77777777" w:rsidR="00AE7827" w:rsidRDefault="00AE7827" w:rsidP="00FF6EDA">
      <w:pPr>
        <w:spacing w:after="0" w:line="240" w:lineRule="auto"/>
        <w:jc w:val="center"/>
        <w:rPr>
          <w:b/>
        </w:rPr>
      </w:pPr>
      <w:r>
        <w:rPr>
          <w:b/>
        </w:rPr>
        <w:t xml:space="preserve">§ </w:t>
      </w:r>
      <w:r w:rsidR="007C3158">
        <w:rPr>
          <w:b/>
        </w:rPr>
        <w:t>1</w:t>
      </w:r>
      <w:r w:rsidR="002B1C3F">
        <w:rPr>
          <w:b/>
        </w:rPr>
        <w:t>1</w:t>
      </w:r>
    </w:p>
    <w:p w14:paraId="4BC1742F" w14:textId="490CAB50" w:rsidR="00AE7827" w:rsidRDefault="00AE7827" w:rsidP="00FF6EDA">
      <w:pPr>
        <w:pStyle w:val="berschrift4"/>
        <w:spacing w:after="0" w:line="240" w:lineRule="auto"/>
        <w:ind w:left="0" w:firstLine="0"/>
      </w:pPr>
      <w:r>
        <w:t>Jahresabschluss und Lagebericht</w:t>
      </w:r>
    </w:p>
    <w:p w14:paraId="0614F1EF" w14:textId="77777777" w:rsidR="00FF6EDA" w:rsidRPr="00FF6EDA" w:rsidRDefault="00FF6EDA" w:rsidP="00FF6EDA">
      <w:pPr>
        <w:spacing w:after="0" w:line="360" w:lineRule="auto"/>
      </w:pPr>
    </w:p>
    <w:p w14:paraId="579301A5" w14:textId="160F9B2D" w:rsidR="00AE7827" w:rsidRDefault="00AE7827" w:rsidP="00FF6EDA">
      <w:pPr>
        <w:spacing w:after="0" w:line="360" w:lineRule="auto"/>
      </w:pPr>
      <w:r>
        <w:t xml:space="preserve">Jahresabschluss und Lagebericht </w:t>
      </w:r>
      <w:r w:rsidR="00FC6D4D">
        <w:t xml:space="preserve">der Gesellschaft </w:t>
      </w:r>
      <w:r>
        <w:t xml:space="preserve">sind </w:t>
      </w:r>
      <w:r w:rsidR="002271A0">
        <w:t xml:space="preserve">jeweils </w:t>
      </w:r>
      <w:r>
        <w:t>innerhalb der gesetzlichen Frist</w:t>
      </w:r>
      <w:r w:rsidR="004548D7">
        <w:t>en</w:t>
      </w:r>
      <w:r>
        <w:t xml:space="preserve"> </w:t>
      </w:r>
      <w:r w:rsidR="004548D7">
        <w:t xml:space="preserve">von der Geschäftsführung </w:t>
      </w:r>
      <w:r>
        <w:t>aufzustellen</w:t>
      </w:r>
      <w:r w:rsidR="004548D7">
        <w:t>,</w:t>
      </w:r>
      <w:r>
        <w:t xml:space="preserve"> der </w:t>
      </w:r>
      <w:r w:rsidR="00E14B3D">
        <w:t>Gesell</w:t>
      </w:r>
      <w:r>
        <w:t>schafterversammlung zur Beschlussfassung vorzulegen</w:t>
      </w:r>
      <w:r w:rsidR="004548D7">
        <w:t xml:space="preserve"> und von ihr festzustellen</w:t>
      </w:r>
      <w:r>
        <w:t>.</w:t>
      </w:r>
    </w:p>
    <w:p w14:paraId="2561F3B2" w14:textId="77777777" w:rsidR="00FF6EDA" w:rsidRDefault="00FF6EDA" w:rsidP="00FF6EDA">
      <w:pPr>
        <w:spacing w:after="0" w:line="360" w:lineRule="auto"/>
      </w:pPr>
    </w:p>
    <w:p w14:paraId="20EBAA38" w14:textId="77777777" w:rsidR="00FF6EDA" w:rsidRDefault="00FF6EDA">
      <w:pPr>
        <w:spacing w:after="0" w:line="240" w:lineRule="auto"/>
        <w:rPr>
          <w:b/>
          <w:i/>
        </w:rPr>
      </w:pPr>
      <w:r>
        <w:rPr>
          <w:b/>
          <w:i/>
        </w:rPr>
        <w:br w:type="page"/>
      </w:r>
    </w:p>
    <w:p w14:paraId="7E3B165E" w14:textId="1A82A474" w:rsidR="00E77506" w:rsidRPr="00E77506" w:rsidRDefault="00E77506" w:rsidP="00FF6EDA">
      <w:pPr>
        <w:spacing w:after="0" w:line="240" w:lineRule="auto"/>
        <w:jc w:val="center"/>
        <w:rPr>
          <w:b/>
          <w:i/>
        </w:rPr>
      </w:pPr>
      <w:r w:rsidRPr="00E77506">
        <w:rPr>
          <w:b/>
          <w:i/>
        </w:rPr>
        <w:lastRenderedPageBreak/>
        <w:t xml:space="preserve">§ 12 </w:t>
      </w:r>
    </w:p>
    <w:p w14:paraId="5953A440" w14:textId="0BEDE30A" w:rsidR="004548D7" w:rsidRDefault="004548D7" w:rsidP="00FF6EDA">
      <w:pPr>
        <w:spacing w:after="0" w:line="240" w:lineRule="auto"/>
        <w:jc w:val="center"/>
        <w:rPr>
          <w:rFonts w:cs="Arial"/>
          <w:b/>
          <w:bCs/>
        </w:rPr>
      </w:pPr>
      <w:r w:rsidRPr="00441011">
        <w:rPr>
          <w:rFonts w:cs="Arial"/>
          <w:b/>
          <w:bCs/>
        </w:rPr>
        <w:t>Wettbewerbsverbot</w:t>
      </w:r>
    </w:p>
    <w:p w14:paraId="402BAF0E" w14:textId="77777777" w:rsidR="00FF6EDA" w:rsidRPr="00FF6EDA" w:rsidRDefault="00FF6EDA" w:rsidP="00FF6EDA">
      <w:pPr>
        <w:spacing w:after="0" w:line="360" w:lineRule="auto"/>
        <w:rPr>
          <w:rFonts w:cs="Arial"/>
          <w:bCs/>
        </w:rPr>
      </w:pPr>
    </w:p>
    <w:p w14:paraId="00965509" w14:textId="34DC0610" w:rsidR="004D2BD6" w:rsidRPr="00441011" w:rsidRDefault="004D2BD6" w:rsidP="00FF6EDA">
      <w:pPr>
        <w:spacing w:after="0" w:line="360" w:lineRule="auto"/>
        <w:rPr>
          <w:rFonts w:cs="Arial"/>
          <w:b/>
          <w:bCs/>
          <w:sz w:val="22"/>
        </w:rPr>
      </w:pPr>
      <w:r w:rsidRPr="00F06A90">
        <w:rPr>
          <w:b/>
          <w:i/>
        </w:rPr>
        <w:t>Hinweis:</w:t>
      </w:r>
      <w:r>
        <w:t xml:space="preserve"> </w:t>
      </w:r>
      <w:r w:rsidRPr="00D4519E">
        <w:rPr>
          <w:i/>
        </w:rPr>
        <w:t xml:space="preserve">Da diverse Möglichkeiten bzw. Konstellationen denkbar </w:t>
      </w:r>
      <w:r>
        <w:rPr>
          <w:i/>
        </w:rPr>
        <w:t>sind und keine unmittelbaren berufsrechtlichen Vorgaben bestehen</w:t>
      </w:r>
      <w:r w:rsidRPr="00D4519E">
        <w:rPr>
          <w:i/>
        </w:rPr>
        <w:t xml:space="preserve">, macht das Muster hier keine Vorgaben. Die </w:t>
      </w:r>
      <w:r w:rsidR="002755FE">
        <w:rPr>
          <w:i/>
        </w:rPr>
        <w:t>Wettbewerbsregelung</w:t>
      </w:r>
      <w:r w:rsidRPr="00D4519E">
        <w:rPr>
          <w:i/>
        </w:rPr>
        <w:t xml:space="preserve"> ist daher von den Gesellsc</w:t>
      </w:r>
      <w:r>
        <w:rPr>
          <w:i/>
        </w:rPr>
        <w:t xml:space="preserve">haftern im konkreten Einzelfall – </w:t>
      </w:r>
      <w:r w:rsidRPr="00C33AF9">
        <w:t>g</w:t>
      </w:r>
      <w:r w:rsidR="00D47285">
        <w:t>gf.</w:t>
      </w:r>
      <w:r>
        <w:rPr>
          <w:i/>
        </w:rPr>
        <w:t xml:space="preserve"> mit</w:t>
      </w:r>
      <w:r w:rsidR="00D47285">
        <w:rPr>
          <w:i/>
        </w:rPr>
        <w:t>h</w:t>
      </w:r>
      <w:r>
        <w:rPr>
          <w:i/>
        </w:rPr>
        <w:t xml:space="preserve">ilfe eines Notars oder Rechtsberaters </w:t>
      </w:r>
      <w:r w:rsidR="00FF6EDA">
        <w:rPr>
          <w:i/>
        </w:rPr>
        <w:t>–</w:t>
      </w:r>
      <w:r>
        <w:rPr>
          <w:i/>
        </w:rPr>
        <w:t xml:space="preserve"> </w:t>
      </w:r>
      <w:r w:rsidRPr="00D4519E">
        <w:rPr>
          <w:i/>
        </w:rPr>
        <w:t>zu bestimmen.</w:t>
      </w:r>
    </w:p>
    <w:p w14:paraId="6DD3CFBD" w14:textId="6EA9B536" w:rsidR="004548D7" w:rsidRPr="00441011" w:rsidRDefault="004548D7" w:rsidP="00FF6EDA">
      <w:pPr>
        <w:autoSpaceDE w:val="0"/>
        <w:autoSpaceDN w:val="0"/>
        <w:spacing w:after="0" w:line="360" w:lineRule="auto"/>
        <w:jc w:val="both"/>
        <w:rPr>
          <w:rFonts w:cs="Arial"/>
        </w:rPr>
      </w:pPr>
    </w:p>
    <w:p w14:paraId="15C32F35" w14:textId="10ADE5EF" w:rsidR="00AE7827" w:rsidRDefault="00AE7827" w:rsidP="00FF6EDA">
      <w:pPr>
        <w:spacing w:after="0" w:line="240" w:lineRule="auto"/>
        <w:jc w:val="center"/>
        <w:rPr>
          <w:b/>
        </w:rPr>
      </w:pPr>
      <w:r>
        <w:rPr>
          <w:b/>
        </w:rPr>
        <w:t xml:space="preserve">§ </w:t>
      </w:r>
      <w:r w:rsidR="000206CA">
        <w:rPr>
          <w:b/>
        </w:rPr>
        <w:t>13</w:t>
      </w:r>
    </w:p>
    <w:p w14:paraId="7BF6D480" w14:textId="2FB19A9D" w:rsidR="00AE7827" w:rsidRDefault="00AE7827" w:rsidP="00FF6EDA">
      <w:pPr>
        <w:pStyle w:val="berschrift1"/>
        <w:spacing w:after="0" w:line="240" w:lineRule="auto"/>
      </w:pPr>
      <w:r>
        <w:t>Anzeigepflichten</w:t>
      </w:r>
      <w:r w:rsidR="00271A2E">
        <w:t xml:space="preserve"> gegenüber der Berufskammer</w:t>
      </w:r>
    </w:p>
    <w:p w14:paraId="4B854F5A" w14:textId="77777777" w:rsidR="00FF6EDA" w:rsidRPr="00FF6EDA" w:rsidRDefault="00FF6EDA" w:rsidP="00FF6EDA">
      <w:pPr>
        <w:spacing w:after="0" w:line="360" w:lineRule="auto"/>
      </w:pPr>
    </w:p>
    <w:p w14:paraId="474320F2" w14:textId="34E15017" w:rsidR="00AE7827" w:rsidRDefault="00FA235F" w:rsidP="00FF6EDA">
      <w:pPr>
        <w:spacing w:after="0" w:line="360" w:lineRule="auto"/>
      </w:pPr>
      <w:r>
        <w:t xml:space="preserve">Die Gesellschaft hat der </w:t>
      </w:r>
      <w:r w:rsidR="000A5AF4">
        <w:t xml:space="preserve">für sie </w:t>
      </w:r>
      <w:r>
        <w:t xml:space="preserve">zuständigen Steuerberaterkammer </w:t>
      </w:r>
      <w:r w:rsidR="00271A2E" w:rsidRPr="00D47285">
        <w:rPr>
          <w:b/>
          <w:i/>
        </w:rPr>
        <w:t>Optional:</w:t>
      </w:r>
      <w:r w:rsidR="00271A2E" w:rsidRPr="00441011">
        <w:rPr>
          <w:i/>
        </w:rPr>
        <w:t xml:space="preserve"> und weiteren zuständigen Berufskammern</w:t>
      </w:r>
      <w:r w:rsidR="00271A2E">
        <w:t xml:space="preserve"> </w:t>
      </w:r>
      <w:r>
        <w:t xml:space="preserve">jede Änderung der nach </w:t>
      </w:r>
      <w:r w:rsidR="000A5AF4">
        <w:t>dem anzuwendenden Berufsrecht mitzuteilenden</w:t>
      </w:r>
      <w:r>
        <w:t xml:space="preserve"> Verhältnisse</w:t>
      </w:r>
      <w:r w:rsidR="00B337A4">
        <w:t xml:space="preserve"> </w:t>
      </w:r>
      <w:r>
        <w:t xml:space="preserve">unverzüglich </w:t>
      </w:r>
      <w:r w:rsidR="000A0AFF">
        <w:t xml:space="preserve">durch Vorlage geeigneter Nachweise </w:t>
      </w:r>
      <w:r w:rsidR="00FF6EDA">
        <w:t xml:space="preserve">– </w:t>
      </w:r>
      <w:r w:rsidR="000A0AFF">
        <w:t xml:space="preserve">einschließlich des geänderten Gesellschaftsvertrags </w:t>
      </w:r>
      <w:r w:rsidR="00FF6EDA">
        <w:t>–</w:t>
      </w:r>
      <w:r w:rsidR="000A0AFF">
        <w:t xml:space="preserve"> </w:t>
      </w:r>
      <w:r>
        <w:t>anzuzeigen</w:t>
      </w:r>
      <w:r w:rsidR="00EB44F2">
        <w:t>.</w:t>
      </w:r>
      <w:r w:rsidR="00271A2E">
        <w:rPr>
          <w:rStyle w:val="Funotenzeichen"/>
        </w:rPr>
        <w:footnoteReference w:id="22"/>
      </w:r>
    </w:p>
    <w:p w14:paraId="42CA450B" w14:textId="77777777" w:rsidR="00FF6EDA" w:rsidRDefault="00FF6EDA" w:rsidP="00FF6EDA">
      <w:pPr>
        <w:spacing w:after="0" w:line="360" w:lineRule="auto"/>
      </w:pPr>
    </w:p>
    <w:p w14:paraId="7553B3DC" w14:textId="60F7886C" w:rsidR="00E71FD3" w:rsidRDefault="00AE7827" w:rsidP="00FF6EDA">
      <w:pPr>
        <w:spacing w:after="0" w:line="240" w:lineRule="auto"/>
        <w:jc w:val="center"/>
        <w:rPr>
          <w:b/>
        </w:rPr>
      </w:pPr>
      <w:r>
        <w:rPr>
          <w:b/>
        </w:rPr>
        <w:t xml:space="preserve">§ </w:t>
      </w:r>
      <w:r w:rsidR="00161BC3">
        <w:rPr>
          <w:b/>
        </w:rPr>
        <w:t>1</w:t>
      </w:r>
      <w:r w:rsidR="00271A2E">
        <w:rPr>
          <w:b/>
        </w:rPr>
        <w:t>4</w:t>
      </w:r>
    </w:p>
    <w:p w14:paraId="2727F7DC" w14:textId="46F54534" w:rsidR="00AE7827" w:rsidRDefault="00AE7827" w:rsidP="00FF6EDA">
      <w:pPr>
        <w:spacing w:after="0" w:line="240" w:lineRule="auto"/>
        <w:jc w:val="center"/>
        <w:rPr>
          <w:b/>
        </w:rPr>
      </w:pPr>
      <w:r w:rsidRPr="00411BBD">
        <w:rPr>
          <w:b/>
        </w:rPr>
        <w:t>Auflösung</w:t>
      </w:r>
    </w:p>
    <w:p w14:paraId="4A6CB967" w14:textId="77777777" w:rsidR="00FF6EDA" w:rsidRPr="00FF6EDA" w:rsidRDefault="00FF6EDA" w:rsidP="00FF6EDA">
      <w:pPr>
        <w:spacing w:after="0" w:line="360" w:lineRule="auto"/>
        <w:jc w:val="center"/>
      </w:pPr>
    </w:p>
    <w:p w14:paraId="435C6CFE" w14:textId="77E166D4" w:rsidR="0063553D" w:rsidRDefault="00734364" w:rsidP="00961E8A">
      <w:pPr>
        <w:numPr>
          <w:ilvl w:val="0"/>
          <w:numId w:val="21"/>
        </w:numPr>
        <w:spacing w:after="0" w:line="360" w:lineRule="auto"/>
        <w:ind w:left="426" w:hanging="426"/>
      </w:pPr>
      <w:r>
        <w:t>Neben</w:t>
      </w:r>
      <w:r w:rsidR="004E20E9">
        <w:t xml:space="preserve"> den </w:t>
      </w:r>
      <w:r>
        <w:t xml:space="preserve">nach dem </w:t>
      </w:r>
      <w:r w:rsidR="00C32962">
        <w:t xml:space="preserve">anwendbaren </w:t>
      </w:r>
      <w:r>
        <w:t xml:space="preserve">Gesellschaftsrecht </w:t>
      </w:r>
      <w:r w:rsidR="004E20E9">
        <w:t xml:space="preserve">vorgesehenen </w:t>
      </w:r>
      <w:r w:rsidR="00271A2E">
        <w:t xml:space="preserve">Auflösungsgründen </w:t>
      </w:r>
      <w:r w:rsidR="000C144E">
        <w:t>führ</w:t>
      </w:r>
      <w:r w:rsidR="000C144E" w:rsidRPr="002167CF">
        <w:t>t</w:t>
      </w:r>
      <w:r w:rsidR="000C144E">
        <w:t xml:space="preserve"> </w:t>
      </w:r>
      <w:r w:rsidR="007002B0">
        <w:t>das Erlöschen</w:t>
      </w:r>
      <w:r w:rsidR="004E20E9">
        <w:t>, d</w:t>
      </w:r>
      <w:r w:rsidR="007002B0">
        <w:t>i</w:t>
      </w:r>
      <w:r w:rsidR="004E20E9">
        <w:t xml:space="preserve">e Rücknahme </w:t>
      </w:r>
      <w:r w:rsidR="00C32962">
        <w:t xml:space="preserve">oder </w:t>
      </w:r>
      <w:r w:rsidR="004E20E9">
        <w:t>de</w:t>
      </w:r>
      <w:r w:rsidR="007002B0">
        <w:t>r</w:t>
      </w:r>
      <w:r w:rsidR="004E20E9">
        <w:t xml:space="preserve"> Widerruf </w:t>
      </w:r>
      <w:r w:rsidR="005D7D2C">
        <w:t xml:space="preserve">sämtlicher </w:t>
      </w:r>
      <w:r w:rsidR="00C32962">
        <w:t>berufsrechtlich</w:t>
      </w:r>
      <w:r w:rsidR="00241010">
        <w:t xml:space="preserve"> erforderlicher </w:t>
      </w:r>
      <w:r w:rsidR="004E20E9">
        <w:t>Anerkennung</w:t>
      </w:r>
      <w:r w:rsidR="005D7D2C">
        <w:t>en</w:t>
      </w:r>
      <w:r w:rsidR="004E20E9">
        <w:t xml:space="preserve"> </w:t>
      </w:r>
      <w:r w:rsidR="000A0AFF">
        <w:t xml:space="preserve">und Zulassungen </w:t>
      </w:r>
      <w:r>
        <w:t xml:space="preserve">der Gesellschaft </w:t>
      </w:r>
      <w:r w:rsidR="007002B0">
        <w:t xml:space="preserve">zu </w:t>
      </w:r>
      <w:r>
        <w:t xml:space="preserve">ihrer </w:t>
      </w:r>
      <w:r w:rsidR="007002B0">
        <w:t>Auflösung</w:t>
      </w:r>
      <w:r w:rsidR="004E20E9">
        <w:t>.</w:t>
      </w:r>
    </w:p>
    <w:p w14:paraId="6B5C57A7" w14:textId="77777777" w:rsidR="00961E8A" w:rsidRDefault="00961E8A" w:rsidP="00961E8A">
      <w:pPr>
        <w:spacing w:after="0" w:line="360" w:lineRule="auto"/>
        <w:ind w:left="426"/>
      </w:pPr>
    </w:p>
    <w:p w14:paraId="7164D9C3" w14:textId="43BE59A0" w:rsidR="00241010" w:rsidRDefault="000A0AFF" w:rsidP="00961E8A">
      <w:pPr>
        <w:numPr>
          <w:ilvl w:val="0"/>
          <w:numId w:val="37"/>
        </w:numPr>
        <w:spacing w:after="0" w:line="360" w:lineRule="auto"/>
      </w:pPr>
      <w:r>
        <w:t xml:space="preserve">Liquidatoren </w:t>
      </w:r>
      <w:r w:rsidR="004E20E9">
        <w:t xml:space="preserve">der Gesellschaft </w:t>
      </w:r>
      <w:r w:rsidR="00734364" w:rsidRPr="002167CF">
        <w:t>sind ihre</w:t>
      </w:r>
      <w:r w:rsidR="004E20E9" w:rsidRPr="002167CF">
        <w:t xml:space="preserve"> Geschäftsführer</w:t>
      </w:r>
      <w:r w:rsidR="004E20E9">
        <w:t>, soweit nicht durch Beschluss der Gesellschafterversammlung</w:t>
      </w:r>
      <w:r w:rsidR="00241010">
        <w:t>, durch Entscheidung der dafür zuständigen Berufskammer</w:t>
      </w:r>
      <w:r w:rsidR="004E20E9">
        <w:t xml:space="preserve"> </w:t>
      </w:r>
      <w:r w:rsidR="00FC6D4D">
        <w:t xml:space="preserve">oder kraft Gesetzes </w:t>
      </w:r>
      <w:r w:rsidR="007002B0">
        <w:t>andere</w:t>
      </w:r>
      <w:r w:rsidR="004E20E9">
        <w:t xml:space="preserve"> Liquidatoren bestellt werden.</w:t>
      </w:r>
      <w:r w:rsidR="007002B0">
        <w:t xml:space="preserve"> </w:t>
      </w:r>
      <w:r w:rsidR="00241010">
        <w:t>§ 9</w:t>
      </w:r>
      <w:r w:rsidR="008A52A9">
        <w:t xml:space="preserve"> </w:t>
      </w:r>
      <w:r w:rsidR="00241010" w:rsidRPr="00FF7ACF">
        <w:t xml:space="preserve">Absätze </w:t>
      </w:r>
      <w:r w:rsidR="00241010">
        <w:t xml:space="preserve">1 bis </w:t>
      </w:r>
      <w:r w:rsidR="00DB5C2C">
        <w:t xml:space="preserve">4 </w:t>
      </w:r>
      <w:r w:rsidR="00241010">
        <w:t>finden entsprechende Anwendung.</w:t>
      </w:r>
    </w:p>
    <w:p w14:paraId="3D48A757" w14:textId="77777777" w:rsidR="0077414A" w:rsidRDefault="0077414A" w:rsidP="00F3517A">
      <w:pPr>
        <w:spacing w:after="0" w:line="360" w:lineRule="auto"/>
      </w:pPr>
    </w:p>
    <w:p w14:paraId="27487D70" w14:textId="5EA15106" w:rsidR="003A2C09" w:rsidRDefault="003A2C09" w:rsidP="00961E8A">
      <w:pPr>
        <w:spacing w:after="0" w:line="240" w:lineRule="auto"/>
        <w:jc w:val="center"/>
        <w:rPr>
          <w:b/>
        </w:rPr>
      </w:pPr>
      <w:r>
        <w:rPr>
          <w:b/>
        </w:rPr>
        <w:t>§ 1</w:t>
      </w:r>
      <w:r w:rsidR="00271A2E">
        <w:rPr>
          <w:b/>
        </w:rPr>
        <w:t>5</w:t>
      </w:r>
    </w:p>
    <w:p w14:paraId="2300FA72" w14:textId="0AEF2D71" w:rsidR="003A2C09" w:rsidRDefault="003A2C09" w:rsidP="00961E8A">
      <w:pPr>
        <w:spacing w:after="0" w:line="240" w:lineRule="auto"/>
        <w:jc w:val="center"/>
        <w:rPr>
          <w:b/>
        </w:rPr>
      </w:pPr>
      <w:r>
        <w:rPr>
          <w:b/>
        </w:rPr>
        <w:t>Kündigung</w:t>
      </w:r>
    </w:p>
    <w:p w14:paraId="14AF02B9" w14:textId="77777777" w:rsidR="00961E8A" w:rsidRPr="00961E8A" w:rsidRDefault="00961E8A" w:rsidP="00961E8A">
      <w:pPr>
        <w:spacing w:after="0" w:line="360" w:lineRule="auto"/>
        <w:jc w:val="center"/>
      </w:pPr>
    </w:p>
    <w:p w14:paraId="3A817F15" w14:textId="28ED5150" w:rsidR="006A43E6" w:rsidRDefault="000A0AFF" w:rsidP="00961E8A">
      <w:pPr>
        <w:spacing w:after="0" w:line="360" w:lineRule="auto"/>
      </w:pPr>
      <w:r w:rsidRPr="00F06A90">
        <w:rPr>
          <w:b/>
          <w:i/>
        </w:rPr>
        <w:t>Hinweis:</w:t>
      </w:r>
      <w:r>
        <w:t xml:space="preserve"> </w:t>
      </w:r>
      <w:r w:rsidRPr="00D4519E">
        <w:rPr>
          <w:i/>
        </w:rPr>
        <w:t xml:space="preserve">Da diverse Möglichkeiten bzw. Konstellationen denkbar </w:t>
      </w:r>
      <w:r w:rsidR="008D1541">
        <w:rPr>
          <w:i/>
        </w:rPr>
        <w:t>sind und keine unmittelbaren berufsrechtlichen Vorgaben bestehen</w:t>
      </w:r>
      <w:r w:rsidRPr="00D4519E">
        <w:rPr>
          <w:i/>
        </w:rPr>
        <w:t xml:space="preserve">, macht das Muster hier keine Vorgaben. Die </w:t>
      </w:r>
      <w:r>
        <w:rPr>
          <w:i/>
        </w:rPr>
        <w:t>Kündigungsregelung</w:t>
      </w:r>
      <w:r w:rsidRPr="00D4519E">
        <w:rPr>
          <w:i/>
        </w:rPr>
        <w:t xml:space="preserve"> ist daher von den Gesellsc</w:t>
      </w:r>
      <w:r>
        <w:rPr>
          <w:i/>
        </w:rPr>
        <w:t>haftern im konkreten Einzelfall – g</w:t>
      </w:r>
      <w:r w:rsidR="00D47285">
        <w:rPr>
          <w:i/>
        </w:rPr>
        <w:t>gf.</w:t>
      </w:r>
      <w:r>
        <w:rPr>
          <w:i/>
        </w:rPr>
        <w:t xml:space="preserve"> mit</w:t>
      </w:r>
      <w:r w:rsidR="00D47285">
        <w:rPr>
          <w:i/>
        </w:rPr>
        <w:t>h</w:t>
      </w:r>
      <w:r>
        <w:rPr>
          <w:i/>
        </w:rPr>
        <w:t xml:space="preserve">ilfe eines Notars oder Rechtsberaters </w:t>
      </w:r>
      <w:r w:rsidR="008912B3">
        <w:rPr>
          <w:i/>
        </w:rPr>
        <w:t>–</w:t>
      </w:r>
      <w:r>
        <w:rPr>
          <w:i/>
        </w:rPr>
        <w:t xml:space="preserve"> </w:t>
      </w:r>
      <w:r w:rsidRPr="00D4519E">
        <w:rPr>
          <w:i/>
        </w:rPr>
        <w:t>zu bestimmen.</w:t>
      </w:r>
    </w:p>
    <w:p w14:paraId="1046D314" w14:textId="03D47CE6" w:rsidR="00F93166" w:rsidRPr="0093202F" w:rsidRDefault="00F93166" w:rsidP="00F3517A">
      <w:pPr>
        <w:spacing w:after="0" w:line="360" w:lineRule="auto"/>
      </w:pPr>
    </w:p>
    <w:p w14:paraId="14F518A8" w14:textId="24B2F91B" w:rsidR="0093202F" w:rsidRPr="0077414A" w:rsidRDefault="0093202F" w:rsidP="008912B3">
      <w:pPr>
        <w:spacing w:after="0" w:line="240" w:lineRule="auto"/>
        <w:jc w:val="center"/>
        <w:rPr>
          <w:b/>
        </w:rPr>
      </w:pPr>
      <w:r w:rsidRPr="0077414A">
        <w:rPr>
          <w:b/>
        </w:rPr>
        <w:t>§ 1</w:t>
      </w:r>
      <w:r w:rsidR="00271A2E">
        <w:rPr>
          <w:b/>
        </w:rPr>
        <w:t>6</w:t>
      </w:r>
    </w:p>
    <w:p w14:paraId="19BF9836" w14:textId="688D3E66" w:rsidR="0093202F" w:rsidRDefault="00453076" w:rsidP="008912B3">
      <w:pPr>
        <w:spacing w:after="0" w:line="240" w:lineRule="auto"/>
        <w:jc w:val="center"/>
        <w:rPr>
          <w:b/>
        </w:rPr>
      </w:pPr>
      <w:r>
        <w:rPr>
          <w:b/>
        </w:rPr>
        <w:t xml:space="preserve">Ausschließung eines Gesellschafters, </w:t>
      </w:r>
      <w:r w:rsidR="0093202F" w:rsidRPr="0077414A">
        <w:rPr>
          <w:b/>
        </w:rPr>
        <w:t>Einziehung</w:t>
      </w:r>
    </w:p>
    <w:p w14:paraId="0D9FC825" w14:textId="77777777" w:rsidR="008912B3" w:rsidRPr="008912B3" w:rsidRDefault="008912B3" w:rsidP="008912B3">
      <w:pPr>
        <w:spacing w:after="0" w:line="360" w:lineRule="auto"/>
        <w:jc w:val="center"/>
      </w:pPr>
    </w:p>
    <w:p w14:paraId="2B8B9900" w14:textId="0F8D3074" w:rsidR="000A0AFF" w:rsidRDefault="000A0AFF" w:rsidP="008912B3">
      <w:pPr>
        <w:numPr>
          <w:ilvl w:val="0"/>
          <w:numId w:val="26"/>
        </w:numPr>
        <w:spacing w:after="0" w:line="360" w:lineRule="auto"/>
        <w:ind w:left="426" w:hanging="426"/>
      </w:pPr>
      <w:r w:rsidRPr="00441011">
        <w:t>Gesellschafter</w:t>
      </w:r>
      <w:r w:rsidR="00453076">
        <w:t>, die</w:t>
      </w:r>
      <w:r w:rsidRPr="00441011">
        <w:t xml:space="preserve"> in schwerwiegender Weise oder wiederholt gegen Pflichten, die im anzuwendenden Berufsrecht bestimmt sind, verstoßen</w:t>
      </w:r>
      <w:r w:rsidR="00453076">
        <w:t>, sind auszuschließen</w:t>
      </w:r>
      <w:r w:rsidRPr="00441011">
        <w:t>.</w:t>
      </w:r>
      <w:r w:rsidRPr="00441011">
        <w:rPr>
          <w:rStyle w:val="Funotenzeichen"/>
        </w:rPr>
        <w:footnoteReference w:id="23"/>
      </w:r>
    </w:p>
    <w:p w14:paraId="368893B4" w14:textId="77777777" w:rsidR="008912B3" w:rsidRDefault="008912B3" w:rsidP="008912B3">
      <w:pPr>
        <w:spacing w:after="0" w:line="360" w:lineRule="auto"/>
        <w:ind w:left="426"/>
      </w:pPr>
    </w:p>
    <w:p w14:paraId="21C12B3E" w14:textId="08764E86" w:rsidR="000A0AFF" w:rsidRPr="00B76D7E" w:rsidRDefault="000A0AFF" w:rsidP="00B545EB">
      <w:pPr>
        <w:numPr>
          <w:ilvl w:val="0"/>
          <w:numId w:val="26"/>
        </w:numPr>
        <w:spacing w:after="0" w:line="360" w:lineRule="auto"/>
        <w:ind w:left="426" w:hanging="426"/>
        <w:rPr>
          <w:i/>
        </w:rPr>
      </w:pPr>
      <w:r w:rsidRPr="00D47285">
        <w:rPr>
          <w:b/>
          <w:i/>
        </w:rPr>
        <w:t xml:space="preserve">Hinweis: </w:t>
      </w:r>
      <w:r w:rsidRPr="00B76D7E">
        <w:rPr>
          <w:i/>
        </w:rPr>
        <w:t>Da diverse Möglichkeiten bzw. Konstellationen denkbar sind</w:t>
      </w:r>
      <w:r w:rsidR="008D1541" w:rsidRPr="00B76D7E">
        <w:rPr>
          <w:i/>
        </w:rPr>
        <w:t xml:space="preserve"> und keine unmittelbaren berufsrechtlichen Vorgaben bestehen</w:t>
      </w:r>
      <w:r w:rsidRPr="00B76D7E">
        <w:rPr>
          <w:i/>
        </w:rPr>
        <w:t xml:space="preserve">, macht das Muster hier keine </w:t>
      </w:r>
      <w:r w:rsidR="000A208A" w:rsidRPr="00B76D7E">
        <w:rPr>
          <w:i/>
        </w:rPr>
        <w:t xml:space="preserve">weiteren </w:t>
      </w:r>
      <w:r w:rsidRPr="00B76D7E">
        <w:rPr>
          <w:i/>
        </w:rPr>
        <w:t>Vorgaben</w:t>
      </w:r>
      <w:r w:rsidR="000A208A" w:rsidRPr="00B76D7E">
        <w:rPr>
          <w:i/>
        </w:rPr>
        <w:t xml:space="preserve"> zur Zwangseinziehung sowi</w:t>
      </w:r>
      <w:r w:rsidR="002272BF" w:rsidRPr="00B76D7E">
        <w:rPr>
          <w:i/>
        </w:rPr>
        <w:t>e</w:t>
      </w:r>
      <w:r w:rsidR="000A208A" w:rsidRPr="00B76D7E">
        <w:rPr>
          <w:i/>
        </w:rPr>
        <w:t xml:space="preserve"> Einziehung mit Zustimmung des davon betroffenen Gesellschafters</w:t>
      </w:r>
      <w:r w:rsidRPr="00B76D7E">
        <w:rPr>
          <w:i/>
        </w:rPr>
        <w:t xml:space="preserve">. Die </w:t>
      </w:r>
      <w:r w:rsidR="000A208A" w:rsidRPr="00B76D7E">
        <w:rPr>
          <w:i/>
        </w:rPr>
        <w:t>entsprechenden R</w:t>
      </w:r>
      <w:r w:rsidRPr="00B76D7E">
        <w:rPr>
          <w:i/>
        </w:rPr>
        <w:t>egelung</w:t>
      </w:r>
      <w:r w:rsidR="000A208A" w:rsidRPr="00B76D7E">
        <w:rPr>
          <w:i/>
        </w:rPr>
        <w:t>en sind</w:t>
      </w:r>
      <w:r w:rsidRPr="00B76D7E">
        <w:rPr>
          <w:i/>
        </w:rPr>
        <w:t xml:space="preserve"> daher von den Gesellschaftern im konkreten Einzelfall </w:t>
      </w:r>
      <w:r w:rsidR="00B76D7E" w:rsidRPr="00B76D7E">
        <w:rPr>
          <w:i/>
        </w:rPr>
        <w:t>–</w:t>
      </w:r>
      <w:r w:rsidRPr="00B76D7E">
        <w:rPr>
          <w:i/>
        </w:rPr>
        <w:t xml:space="preserve"> g</w:t>
      </w:r>
      <w:r w:rsidR="00D47285">
        <w:rPr>
          <w:i/>
        </w:rPr>
        <w:t xml:space="preserve">gf. </w:t>
      </w:r>
      <w:r w:rsidRPr="00B76D7E">
        <w:rPr>
          <w:i/>
        </w:rPr>
        <w:t>mit</w:t>
      </w:r>
      <w:r w:rsidR="00D47285">
        <w:rPr>
          <w:i/>
        </w:rPr>
        <w:t>h</w:t>
      </w:r>
      <w:r w:rsidRPr="00B76D7E">
        <w:rPr>
          <w:i/>
        </w:rPr>
        <w:t>ilfe eines Notars oder Rechtsberaters</w:t>
      </w:r>
      <w:r w:rsidR="004A0C47" w:rsidRPr="00B76D7E">
        <w:rPr>
          <w:i/>
        </w:rPr>
        <w:t> </w:t>
      </w:r>
      <w:r w:rsidR="00B76D7E" w:rsidRPr="00B76D7E">
        <w:rPr>
          <w:i/>
        </w:rPr>
        <w:t>–</w:t>
      </w:r>
      <w:r w:rsidRPr="00B76D7E">
        <w:rPr>
          <w:i/>
        </w:rPr>
        <w:t xml:space="preserve"> zu bestimmen.</w:t>
      </w:r>
    </w:p>
    <w:p w14:paraId="75EB8479" w14:textId="77777777" w:rsidR="00F06A90" w:rsidRPr="00F06A90" w:rsidRDefault="00F06A90" w:rsidP="00B76D7E">
      <w:pPr>
        <w:spacing w:after="0" w:line="360" w:lineRule="auto"/>
      </w:pPr>
    </w:p>
    <w:p w14:paraId="3ADD42DA" w14:textId="69C32FC4" w:rsidR="0093202F" w:rsidRPr="0077414A" w:rsidRDefault="0093202F" w:rsidP="00B76D7E">
      <w:pPr>
        <w:spacing w:after="0" w:line="240" w:lineRule="auto"/>
        <w:jc w:val="center"/>
        <w:rPr>
          <w:b/>
        </w:rPr>
      </w:pPr>
      <w:r w:rsidRPr="0077414A">
        <w:rPr>
          <w:b/>
        </w:rPr>
        <w:t>§ 1</w:t>
      </w:r>
      <w:r w:rsidR="00271A2E">
        <w:rPr>
          <w:b/>
        </w:rPr>
        <w:t>7</w:t>
      </w:r>
    </w:p>
    <w:p w14:paraId="555A80AF" w14:textId="77777777" w:rsidR="0093202F" w:rsidRPr="0077414A" w:rsidRDefault="0093202F" w:rsidP="00B76D7E">
      <w:pPr>
        <w:spacing w:after="0" w:line="240" w:lineRule="auto"/>
        <w:jc w:val="center"/>
        <w:rPr>
          <w:b/>
        </w:rPr>
      </w:pPr>
      <w:r w:rsidRPr="0077414A">
        <w:rPr>
          <w:b/>
        </w:rPr>
        <w:t>Erbfall</w:t>
      </w:r>
    </w:p>
    <w:p w14:paraId="5E7E5E0D" w14:textId="77777777" w:rsidR="00B76D7E" w:rsidRPr="00B76D7E" w:rsidRDefault="00B76D7E" w:rsidP="00B76D7E">
      <w:pPr>
        <w:spacing w:after="0" w:line="360" w:lineRule="auto"/>
        <w:jc w:val="both"/>
      </w:pPr>
    </w:p>
    <w:p w14:paraId="7833C8EF" w14:textId="68D9BEF7" w:rsidR="000A208A" w:rsidRDefault="000A208A" w:rsidP="00DD14EC">
      <w:pPr>
        <w:spacing w:after="0" w:line="360" w:lineRule="auto"/>
      </w:pPr>
      <w:r w:rsidRPr="00F06A90">
        <w:rPr>
          <w:b/>
          <w:i/>
        </w:rPr>
        <w:t>Hinweis:</w:t>
      </w:r>
      <w:r>
        <w:t xml:space="preserve"> </w:t>
      </w:r>
      <w:r w:rsidRPr="00D4519E">
        <w:rPr>
          <w:i/>
        </w:rPr>
        <w:t>Da diverse Möglichkeiten bzw. Konstellationen denkbar sind</w:t>
      </w:r>
      <w:r w:rsidR="008D1541">
        <w:rPr>
          <w:i/>
        </w:rPr>
        <w:t xml:space="preserve"> </w:t>
      </w:r>
      <w:r w:rsidR="008D1541" w:rsidRPr="008D1541">
        <w:rPr>
          <w:i/>
        </w:rPr>
        <w:t>und keine unmittelbaren berufsrechtlichen Vorgaben bestehen</w:t>
      </w:r>
      <w:r w:rsidRPr="00D4519E">
        <w:rPr>
          <w:i/>
        </w:rPr>
        <w:t xml:space="preserve">, macht das Muster hier keine Vorgaben. Die </w:t>
      </w:r>
      <w:r>
        <w:rPr>
          <w:i/>
        </w:rPr>
        <w:t>Regelung</w:t>
      </w:r>
      <w:r w:rsidRPr="00D4519E">
        <w:rPr>
          <w:i/>
        </w:rPr>
        <w:t xml:space="preserve"> </w:t>
      </w:r>
      <w:r>
        <w:rPr>
          <w:i/>
        </w:rPr>
        <w:t xml:space="preserve">für Erbfälle </w:t>
      </w:r>
      <w:r w:rsidRPr="00D4519E">
        <w:rPr>
          <w:i/>
        </w:rPr>
        <w:t>ist daher von den Gesellsc</w:t>
      </w:r>
      <w:r>
        <w:rPr>
          <w:i/>
        </w:rPr>
        <w:t xml:space="preserve">haftern im konkreten Einzelfall </w:t>
      </w:r>
      <w:r w:rsidR="00DD14EC">
        <w:rPr>
          <w:i/>
        </w:rPr>
        <w:t xml:space="preserve">– </w:t>
      </w:r>
      <w:r>
        <w:rPr>
          <w:i/>
        </w:rPr>
        <w:t>g</w:t>
      </w:r>
      <w:r w:rsidR="00D47285">
        <w:rPr>
          <w:i/>
        </w:rPr>
        <w:t>gf.</w:t>
      </w:r>
      <w:r>
        <w:rPr>
          <w:i/>
        </w:rPr>
        <w:t xml:space="preserve"> mit</w:t>
      </w:r>
      <w:r w:rsidR="00D47285">
        <w:rPr>
          <w:i/>
        </w:rPr>
        <w:t>h</w:t>
      </w:r>
      <w:r>
        <w:rPr>
          <w:i/>
        </w:rPr>
        <w:t xml:space="preserve">ilfe eines Notars oder Rechtsberaters </w:t>
      </w:r>
      <w:r w:rsidR="00DD14EC">
        <w:rPr>
          <w:i/>
        </w:rPr>
        <w:t>–</w:t>
      </w:r>
      <w:r>
        <w:rPr>
          <w:i/>
        </w:rPr>
        <w:t xml:space="preserve"> </w:t>
      </w:r>
      <w:r w:rsidRPr="00D4519E">
        <w:rPr>
          <w:i/>
        </w:rPr>
        <w:t>zu bestimmen.</w:t>
      </w:r>
    </w:p>
    <w:p w14:paraId="6746176E" w14:textId="77777777" w:rsidR="00F06A90" w:rsidRPr="0093202F" w:rsidRDefault="00F06A90" w:rsidP="00F3517A">
      <w:pPr>
        <w:spacing w:after="0" w:line="360" w:lineRule="auto"/>
        <w:jc w:val="both"/>
      </w:pPr>
    </w:p>
    <w:p w14:paraId="1870098A" w14:textId="2DCE32FD" w:rsidR="0093202F" w:rsidRPr="0077414A" w:rsidRDefault="0093202F" w:rsidP="00DD14EC">
      <w:pPr>
        <w:spacing w:after="0" w:line="240" w:lineRule="auto"/>
        <w:jc w:val="center"/>
        <w:rPr>
          <w:b/>
        </w:rPr>
      </w:pPr>
      <w:r w:rsidRPr="0077414A">
        <w:rPr>
          <w:b/>
        </w:rPr>
        <w:t xml:space="preserve">§ </w:t>
      </w:r>
      <w:r w:rsidR="00271A2E" w:rsidRPr="0077414A">
        <w:rPr>
          <w:b/>
        </w:rPr>
        <w:t>1</w:t>
      </w:r>
      <w:r w:rsidR="00271A2E">
        <w:rPr>
          <w:b/>
        </w:rPr>
        <w:t>8</w:t>
      </w:r>
    </w:p>
    <w:p w14:paraId="1D2AA33D" w14:textId="4EC6FF2B" w:rsidR="0093202F" w:rsidRDefault="0093202F" w:rsidP="00DD14EC">
      <w:pPr>
        <w:spacing w:after="0" w:line="240" w:lineRule="auto"/>
        <w:jc w:val="center"/>
        <w:rPr>
          <w:b/>
        </w:rPr>
      </w:pPr>
      <w:r w:rsidRPr="0077414A">
        <w:rPr>
          <w:b/>
        </w:rPr>
        <w:t>Abfindung</w:t>
      </w:r>
    </w:p>
    <w:p w14:paraId="4337FAE6" w14:textId="77777777" w:rsidR="00DD14EC" w:rsidRPr="00DD14EC" w:rsidRDefault="00DD14EC" w:rsidP="00DD14EC">
      <w:pPr>
        <w:spacing w:after="0" w:line="360" w:lineRule="auto"/>
        <w:jc w:val="center"/>
      </w:pPr>
    </w:p>
    <w:p w14:paraId="6BB9B7F9" w14:textId="2E0B9F51" w:rsidR="0078750F" w:rsidRPr="00F06A90" w:rsidRDefault="008501C9" w:rsidP="00DD14EC">
      <w:pPr>
        <w:spacing w:after="0" w:line="360" w:lineRule="auto"/>
        <w:rPr>
          <w:i/>
        </w:rPr>
      </w:pPr>
      <w:r w:rsidRPr="00F06A90">
        <w:rPr>
          <w:b/>
          <w:i/>
        </w:rPr>
        <w:t>Hinweis:</w:t>
      </w:r>
      <w:r>
        <w:t xml:space="preserve"> </w:t>
      </w:r>
      <w:r w:rsidR="00D4519E" w:rsidRPr="00D4519E">
        <w:rPr>
          <w:i/>
        </w:rPr>
        <w:t>Da diverse Möglichkeiten bzw. Konstellationen denkbar sind</w:t>
      </w:r>
      <w:r w:rsidR="008D1541">
        <w:rPr>
          <w:i/>
        </w:rPr>
        <w:t xml:space="preserve"> </w:t>
      </w:r>
      <w:r w:rsidR="008D1541" w:rsidRPr="008D1541">
        <w:rPr>
          <w:i/>
        </w:rPr>
        <w:t>und keine unmittelbaren berufsrechtlichen Vorgaben bestehen</w:t>
      </w:r>
      <w:r w:rsidR="00D4519E" w:rsidRPr="00D4519E">
        <w:rPr>
          <w:i/>
        </w:rPr>
        <w:t xml:space="preserve">, macht das Muster hier keine Vorgaben. Die Ermittlung </w:t>
      </w:r>
      <w:r w:rsidR="000A208A">
        <w:rPr>
          <w:i/>
        </w:rPr>
        <w:t xml:space="preserve">der Abfindung in den nach dem Gesellschaftsvertrag möglichen Fällen </w:t>
      </w:r>
      <w:r w:rsidR="00D4519E" w:rsidRPr="00D4519E">
        <w:rPr>
          <w:i/>
        </w:rPr>
        <w:t xml:space="preserve">ist daher von den Gesellschaftern im konkreten Einzelfall </w:t>
      </w:r>
      <w:r w:rsidR="00DD14EC">
        <w:rPr>
          <w:i/>
        </w:rPr>
        <w:t xml:space="preserve">– </w:t>
      </w:r>
      <w:r w:rsidR="000A208A">
        <w:rPr>
          <w:i/>
        </w:rPr>
        <w:t>g</w:t>
      </w:r>
      <w:r w:rsidR="00D47285">
        <w:rPr>
          <w:i/>
        </w:rPr>
        <w:t>gf.</w:t>
      </w:r>
      <w:r w:rsidR="000A208A">
        <w:rPr>
          <w:i/>
        </w:rPr>
        <w:t xml:space="preserve"> mit</w:t>
      </w:r>
      <w:r w:rsidR="00DD14EC">
        <w:rPr>
          <w:i/>
        </w:rPr>
        <w:t>h</w:t>
      </w:r>
      <w:r w:rsidR="000A208A">
        <w:rPr>
          <w:i/>
        </w:rPr>
        <w:t xml:space="preserve">ilfe eines Notars oder Rechtsberaters </w:t>
      </w:r>
      <w:r w:rsidR="00DD14EC">
        <w:rPr>
          <w:i/>
        </w:rPr>
        <w:t>–</w:t>
      </w:r>
      <w:r w:rsidR="000A208A">
        <w:rPr>
          <w:i/>
        </w:rPr>
        <w:t xml:space="preserve"> </w:t>
      </w:r>
      <w:r w:rsidR="00D4519E" w:rsidRPr="00D4519E">
        <w:rPr>
          <w:i/>
        </w:rPr>
        <w:t xml:space="preserve">zu bestimmen. </w:t>
      </w:r>
    </w:p>
    <w:p w14:paraId="427AC1E5" w14:textId="37D726CD" w:rsidR="00A748D3" w:rsidRDefault="00A748D3" w:rsidP="00F3517A">
      <w:pPr>
        <w:spacing w:after="0" w:line="360" w:lineRule="auto"/>
      </w:pPr>
    </w:p>
    <w:p w14:paraId="49EC8946" w14:textId="77777777" w:rsidR="00DD14EC" w:rsidRDefault="00DD14EC">
      <w:pPr>
        <w:spacing w:after="0" w:line="240" w:lineRule="auto"/>
        <w:rPr>
          <w:b/>
        </w:rPr>
      </w:pPr>
      <w:r>
        <w:rPr>
          <w:b/>
        </w:rPr>
        <w:br w:type="page"/>
      </w:r>
    </w:p>
    <w:p w14:paraId="504100A3" w14:textId="42A18809" w:rsidR="00AE7827" w:rsidRDefault="00AE7827" w:rsidP="00DD14EC">
      <w:pPr>
        <w:spacing w:after="0" w:line="240" w:lineRule="auto"/>
        <w:jc w:val="center"/>
        <w:rPr>
          <w:b/>
        </w:rPr>
      </w:pPr>
      <w:r>
        <w:rPr>
          <w:b/>
        </w:rPr>
        <w:t xml:space="preserve">§ </w:t>
      </w:r>
      <w:r w:rsidR="00DD70A6">
        <w:rPr>
          <w:b/>
        </w:rPr>
        <w:t>1</w:t>
      </w:r>
      <w:r w:rsidR="00271A2E">
        <w:rPr>
          <w:b/>
        </w:rPr>
        <w:t>9</w:t>
      </w:r>
    </w:p>
    <w:p w14:paraId="68C24687" w14:textId="4F8B8FE1" w:rsidR="00AE7827" w:rsidRDefault="00AE7827" w:rsidP="00DD14EC">
      <w:pPr>
        <w:pStyle w:val="berschrift1"/>
        <w:spacing w:after="0" w:line="240" w:lineRule="auto"/>
      </w:pPr>
      <w:r>
        <w:t>Bekanntmachungen</w:t>
      </w:r>
    </w:p>
    <w:p w14:paraId="381B92E4" w14:textId="77777777" w:rsidR="00DD14EC" w:rsidRPr="00DD14EC" w:rsidRDefault="00DD14EC" w:rsidP="00DD14EC">
      <w:pPr>
        <w:spacing w:after="0" w:line="360" w:lineRule="auto"/>
      </w:pPr>
    </w:p>
    <w:p w14:paraId="001896AB" w14:textId="7DBF4385" w:rsidR="00AE7827" w:rsidRDefault="00AE7827" w:rsidP="00F3517A">
      <w:pPr>
        <w:spacing w:after="0" w:line="360" w:lineRule="auto"/>
        <w:jc w:val="both"/>
      </w:pPr>
      <w:r>
        <w:t xml:space="preserve">Bekanntmachungen der Gesellschaft </w:t>
      </w:r>
      <w:r w:rsidR="003248D6">
        <w:t xml:space="preserve">finden </w:t>
      </w:r>
      <w:r>
        <w:t>im Bundesanzeiger</w:t>
      </w:r>
      <w:r w:rsidR="003248D6">
        <w:t xml:space="preserve"> statt</w:t>
      </w:r>
      <w:r>
        <w:t>.</w:t>
      </w:r>
    </w:p>
    <w:p w14:paraId="4A58C7A2" w14:textId="77777777" w:rsidR="00AE7827" w:rsidRDefault="00AE7827" w:rsidP="00DD14EC">
      <w:pPr>
        <w:spacing w:after="0" w:line="360" w:lineRule="auto"/>
        <w:jc w:val="both"/>
      </w:pPr>
    </w:p>
    <w:p w14:paraId="4AEF5D75" w14:textId="52C10695" w:rsidR="00AE7827" w:rsidRDefault="00AE7827" w:rsidP="00DD14EC">
      <w:pPr>
        <w:spacing w:after="0" w:line="240" w:lineRule="auto"/>
        <w:jc w:val="center"/>
        <w:rPr>
          <w:b/>
        </w:rPr>
      </w:pPr>
      <w:r>
        <w:rPr>
          <w:b/>
        </w:rPr>
        <w:t xml:space="preserve">§ </w:t>
      </w:r>
      <w:r w:rsidR="00271A2E">
        <w:rPr>
          <w:b/>
        </w:rPr>
        <w:t>20</w:t>
      </w:r>
    </w:p>
    <w:p w14:paraId="5BE11D2E" w14:textId="1C48F59D" w:rsidR="00AE7827" w:rsidRDefault="00AE7827" w:rsidP="00DD14EC">
      <w:pPr>
        <w:spacing w:after="0" w:line="240" w:lineRule="auto"/>
        <w:jc w:val="center"/>
        <w:rPr>
          <w:b/>
        </w:rPr>
      </w:pPr>
      <w:r>
        <w:rPr>
          <w:b/>
        </w:rPr>
        <w:t>Gründungskosten</w:t>
      </w:r>
    </w:p>
    <w:p w14:paraId="36033751" w14:textId="77777777" w:rsidR="00DD14EC" w:rsidRDefault="00DD14EC" w:rsidP="00DD14EC">
      <w:pPr>
        <w:spacing w:after="0" w:line="360" w:lineRule="auto"/>
      </w:pPr>
    </w:p>
    <w:p w14:paraId="66295915" w14:textId="7CA1497A" w:rsidR="00AE7827" w:rsidRDefault="00AE7827" w:rsidP="00DD14EC">
      <w:pPr>
        <w:spacing w:after="0" w:line="360" w:lineRule="auto"/>
      </w:pPr>
      <w:r>
        <w:t>Gründungskosten gehen bis zum Betrag von .................</w:t>
      </w:r>
      <w:r w:rsidR="00D47285">
        <w:t xml:space="preserve"> € </w:t>
      </w:r>
      <w:r>
        <w:t>zu Lasten der Gesellschaft.</w:t>
      </w:r>
    </w:p>
    <w:p w14:paraId="75033F63" w14:textId="77777777" w:rsidR="00DD14EC" w:rsidRDefault="00DD14EC" w:rsidP="00DD14EC">
      <w:pPr>
        <w:spacing w:after="0" w:line="360" w:lineRule="auto"/>
      </w:pPr>
    </w:p>
    <w:p w14:paraId="75A09DFE" w14:textId="0ADB3DA8" w:rsidR="00AE7827" w:rsidRDefault="00AE7827" w:rsidP="00DD14EC">
      <w:pPr>
        <w:spacing w:after="0" w:line="240" w:lineRule="auto"/>
        <w:jc w:val="center"/>
        <w:rPr>
          <w:b/>
        </w:rPr>
      </w:pPr>
      <w:r>
        <w:rPr>
          <w:b/>
        </w:rPr>
        <w:t xml:space="preserve">§ </w:t>
      </w:r>
      <w:r w:rsidR="0077414A">
        <w:rPr>
          <w:b/>
        </w:rPr>
        <w:t>2</w:t>
      </w:r>
      <w:r w:rsidR="00271A2E">
        <w:rPr>
          <w:b/>
        </w:rPr>
        <w:t>1</w:t>
      </w:r>
    </w:p>
    <w:p w14:paraId="2DDA18CE" w14:textId="77777777" w:rsidR="00AE7827" w:rsidRDefault="00AE7827" w:rsidP="00DD14EC">
      <w:pPr>
        <w:pStyle w:val="berschrift1"/>
        <w:spacing w:after="0" w:line="240" w:lineRule="auto"/>
      </w:pPr>
      <w:r>
        <w:t>Schlussbestimmungen</w:t>
      </w:r>
    </w:p>
    <w:p w14:paraId="078EF140" w14:textId="77777777" w:rsidR="00715B7D" w:rsidRPr="00DD14EC" w:rsidRDefault="00715B7D" w:rsidP="00DD14EC">
      <w:pPr>
        <w:autoSpaceDE w:val="0"/>
        <w:autoSpaceDN w:val="0"/>
        <w:adjustRightInd w:val="0"/>
        <w:spacing w:after="0" w:line="360" w:lineRule="auto"/>
        <w:rPr>
          <w:rFonts w:cs="Arial"/>
          <w:szCs w:val="24"/>
        </w:rPr>
      </w:pPr>
    </w:p>
    <w:p w14:paraId="65580328" w14:textId="0E987263" w:rsidR="00715B7D" w:rsidRDefault="00715B7D" w:rsidP="00DD14EC">
      <w:pPr>
        <w:numPr>
          <w:ilvl w:val="0"/>
          <w:numId w:val="30"/>
        </w:numPr>
        <w:spacing w:after="0" w:line="360" w:lineRule="auto"/>
        <w:ind w:left="426" w:hanging="426"/>
      </w:pPr>
      <w:r w:rsidRPr="00715B7D">
        <w:t>Ansprüche aus diesem Vertrag können weder abgetreten noch verpfändet noch mit</w:t>
      </w:r>
      <w:r>
        <w:t xml:space="preserve"> </w:t>
      </w:r>
      <w:r w:rsidRPr="00715B7D">
        <w:t>einem Nießbrauch belastet werden.</w:t>
      </w:r>
    </w:p>
    <w:p w14:paraId="0968EC8D" w14:textId="194793A0" w:rsidR="00DD14EC" w:rsidRDefault="00DD14EC" w:rsidP="00DD14EC">
      <w:pPr>
        <w:spacing w:after="0" w:line="360" w:lineRule="auto"/>
        <w:ind w:left="426"/>
      </w:pPr>
    </w:p>
    <w:p w14:paraId="32C639AC" w14:textId="46207227" w:rsidR="00715B7D" w:rsidRDefault="00715B7D" w:rsidP="00DD14EC">
      <w:pPr>
        <w:numPr>
          <w:ilvl w:val="0"/>
          <w:numId w:val="30"/>
        </w:numPr>
        <w:spacing w:after="0" w:line="360" w:lineRule="auto"/>
        <w:ind w:left="426" w:hanging="426"/>
      </w:pPr>
      <w:r w:rsidRPr="00715B7D">
        <w:t>Mündliche Abreden bestehen nicht. Änderungen dieses Vertrages – einschließlich Änderungen dieser Klausel – bedürfen zu ihrer Gültigkeit der Schriftform, soweit nicht notarielle Beurkundung vorgeschrieben ist.</w:t>
      </w:r>
    </w:p>
    <w:p w14:paraId="65C81F01" w14:textId="77777777" w:rsidR="00DD14EC" w:rsidRDefault="00DD14EC" w:rsidP="00DD14EC">
      <w:pPr>
        <w:spacing w:after="0" w:line="360" w:lineRule="auto"/>
        <w:ind w:left="426"/>
      </w:pPr>
    </w:p>
    <w:p w14:paraId="22F6504F" w14:textId="495A453A" w:rsidR="00AE7827" w:rsidRDefault="00AE7827" w:rsidP="00DD14EC">
      <w:pPr>
        <w:numPr>
          <w:ilvl w:val="0"/>
          <w:numId w:val="30"/>
        </w:numPr>
        <w:spacing w:after="0" w:line="360" w:lineRule="auto"/>
        <w:ind w:left="426" w:hanging="426"/>
      </w:pPr>
      <w:r>
        <w:t>Sollten einzelne Bestimmungen des Gesellschaftsvertrages ganz oder teilweise nicht gültig sein, so wird hiervon die Wirksamkeit der übrigen Bestimmungen nicht berührt. Der Gesellschaftsvertrag ist dann nach Möglichkeit durch Beschluss der Gesellschaf</w:t>
      </w:r>
      <w:r>
        <w:softHyphen/>
        <w:t>ter so zu ergänzen oder zu ersetzen, dass der beabsichtigte Zweck erreicht wird. Dasselbe gilt, wenn sich bei Durchführung des Gesellschaftsvertrages eine ergänzungsbedürftige Lücke ergeben sollte.</w:t>
      </w:r>
    </w:p>
    <w:p w14:paraId="70F105A2" w14:textId="77777777" w:rsidR="005D3988" w:rsidRDefault="005D3988" w:rsidP="00F3517A">
      <w:pPr>
        <w:spacing w:after="0" w:line="360" w:lineRule="auto"/>
        <w:ind w:left="426" w:hanging="426"/>
        <w:jc w:val="both"/>
      </w:pPr>
    </w:p>
    <w:sectPr w:rsidR="005D3988" w:rsidSect="00ED5F5E">
      <w:headerReference w:type="even" r:id="rId12"/>
      <w:headerReference w:type="default" r:id="rId13"/>
      <w:footerReference w:type="even" r:id="rId14"/>
      <w:footerReference w:type="default" r:id="rId15"/>
      <w:pgSz w:w="11907" w:h="16840" w:code="9"/>
      <w:pgMar w:top="964" w:right="1134" w:bottom="851" w:left="1134" w:header="720" w:footer="851"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620A" w14:textId="77777777" w:rsidR="00F65808" w:rsidRDefault="00F65808">
      <w:r>
        <w:separator/>
      </w:r>
    </w:p>
  </w:endnote>
  <w:endnote w:type="continuationSeparator" w:id="0">
    <w:p w14:paraId="3BD05AB4" w14:textId="77777777" w:rsidR="00F65808" w:rsidRDefault="00F6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0" w:usb1="00000000" w:usb2="0000000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20C4" w14:textId="77777777" w:rsidR="008060D6" w:rsidRDefault="008060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14:paraId="7540DB23" w14:textId="77777777" w:rsidR="008060D6" w:rsidRDefault="008060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AA98" w14:textId="57F3B201" w:rsidR="008060D6" w:rsidRDefault="008060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D6DE6">
      <w:rPr>
        <w:rStyle w:val="Seitenzahl"/>
        <w:noProof/>
      </w:rPr>
      <w:t>2</w:t>
    </w:r>
    <w:r>
      <w:rPr>
        <w:rStyle w:val="Seitenzahl"/>
      </w:rPr>
      <w:fldChar w:fldCharType="end"/>
    </w:r>
  </w:p>
  <w:p w14:paraId="0E71963D" w14:textId="77777777" w:rsidR="008060D6" w:rsidRPr="00E8545D" w:rsidRDefault="008060D6" w:rsidP="00E8545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5229" w14:textId="77777777" w:rsidR="00F65808" w:rsidRDefault="00F65808">
      <w:r>
        <w:separator/>
      </w:r>
    </w:p>
  </w:footnote>
  <w:footnote w:type="continuationSeparator" w:id="0">
    <w:p w14:paraId="090B14E7" w14:textId="77777777" w:rsidR="00F65808" w:rsidRDefault="00F65808">
      <w:r>
        <w:continuationSeparator/>
      </w:r>
    </w:p>
  </w:footnote>
  <w:footnote w:id="1">
    <w:p w14:paraId="42DD72ED" w14:textId="50BF689D" w:rsidR="006425CF" w:rsidRDefault="006425CF" w:rsidP="00F3517A">
      <w:pPr>
        <w:pStyle w:val="Funotentext"/>
        <w:spacing w:after="0" w:line="240" w:lineRule="auto"/>
        <w:ind w:left="284" w:hanging="284"/>
      </w:pPr>
      <w:r>
        <w:rPr>
          <w:rStyle w:val="Funotenzeichen"/>
        </w:rPr>
        <w:footnoteRef/>
      </w:r>
      <w:r w:rsidR="00F3517A">
        <w:tab/>
      </w:r>
      <w:r>
        <w:t xml:space="preserve">Nach § 55g StBerG darf die Bezeichnung „Steuerberatungsgesellschaft“ </w:t>
      </w:r>
      <w:r w:rsidRPr="006D2BC0">
        <w:t>anstelle oder neben</w:t>
      </w:r>
      <w:r>
        <w:t xml:space="preserve"> der Bezeichnung „Berufsausübungsgesellschaft“ </w:t>
      </w:r>
      <w:r w:rsidR="00DF0667">
        <w:t xml:space="preserve">optional </w:t>
      </w:r>
      <w:r>
        <w:t>geführt werden, wenn bei der Gesellschaft Steuerberater und Steuerbevollmächtigte die Mehrheit der Stimmrechte innehaben und die Mehrheit der Geschäftsführer stellen.</w:t>
      </w:r>
      <w:r w:rsidR="007D2B29">
        <w:t xml:space="preserve"> Eine Verpflichtung zur Führung der Bezeichnung „anerkannte Berufsausübungsgesellschaft“ besteht nicht. </w:t>
      </w:r>
    </w:p>
  </w:footnote>
  <w:footnote w:id="2">
    <w:p w14:paraId="1276412B" w14:textId="05385821" w:rsidR="0035497A" w:rsidRDefault="0035497A" w:rsidP="00F54A81">
      <w:pPr>
        <w:pStyle w:val="Funotentext"/>
        <w:spacing w:after="0" w:line="240" w:lineRule="auto"/>
        <w:ind w:left="284" w:hanging="284"/>
      </w:pPr>
      <w:r>
        <w:rPr>
          <w:rStyle w:val="Funotenzeichen"/>
        </w:rPr>
        <w:footnoteRef/>
      </w:r>
      <w:r w:rsidR="00F54A81">
        <w:tab/>
      </w:r>
      <w:r w:rsidR="009410E0">
        <w:t xml:space="preserve">Vgl. </w:t>
      </w:r>
      <w:r>
        <w:t xml:space="preserve">§ 50 </w:t>
      </w:r>
      <w:r w:rsidR="009F02DB">
        <w:t xml:space="preserve">Abs. 1 </w:t>
      </w:r>
      <w:r w:rsidR="00577F27">
        <w:t xml:space="preserve">Satz 1 </w:t>
      </w:r>
      <w:r w:rsidR="009F02DB">
        <w:t xml:space="preserve">Nr. 4 </w:t>
      </w:r>
      <w:r>
        <w:t>StBerG</w:t>
      </w:r>
    </w:p>
  </w:footnote>
  <w:footnote w:id="3">
    <w:p w14:paraId="37E6F28E" w14:textId="65557E9F" w:rsidR="004D0A46" w:rsidRDefault="004D0A46" w:rsidP="00F54A81">
      <w:pPr>
        <w:pStyle w:val="Funotentext"/>
        <w:spacing w:after="0" w:line="240" w:lineRule="auto"/>
        <w:ind w:left="284" w:hanging="284"/>
      </w:pPr>
      <w:r>
        <w:rPr>
          <w:rStyle w:val="Funotenzeichen"/>
        </w:rPr>
        <w:footnoteRef/>
      </w:r>
      <w:r w:rsidR="00F54A81">
        <w:tab/>
      </w:r>
      <w:r>
        <w:t>Der Singular gilt auch für den Fall, dass der Gegenstand mehre</w:t>
      </w:r>
      <w:r w:rsidR="00577F27">
        <w:t>re</w:t>
      </w:r>
      <w:r>
        <w:t xml:space="preserve"> Berufe umfasst.</w:t>
      </w:r>
    </w:p>
  </w:footnote>
  <w:footnote w:id="4">
    <w:p w14:paraId="4D0D04E9" w14:textId="3FBE772E" w:rsidR="0035497A" w:rsidRDefault="0035497A" w:rsidP="00F54A81">
      <w:pPr>
        <w:pStyle w:val="Funotentext"/>
        <w:spacing w:after="0" w:line="240" w:lineRule="auto"/>
        <w:ind w:left="284" w:hanging="284"/>
      </w:pPr>
      <w:r>
        <w:rPr>
          <w:rStyle w:val="Funotenzeichen"/>
        </w:rPr>
        <w:footnoteRef/>
      </w:r>
      <w:r w:rsidR="00F54A81">
        <w:tab/>
      </w:r>
      <w:r w:rsidR="009410E0">
        <w:t xml:space="preserve">Vgl. </w:t>
      </w:r>
      <w:r>
        <w:t>§ 55e Abs. 1 StBerG</w:t>
      </w:r>
    </w:p>
  </w:footnote>
  <w:footnote w:id="5">
    <w:p w14:paraId="08ACA530" w14:textId="519BA77C" w:rsidR="0035497A" w:rsidRDefault="0035497A" w:rsidP="00F54A81">
      <w:pPr>
        <w:pStyle w:val="Funotentext"/>
        <w:spacing w:after="0" w:line="240" w:lineRule="auto"/>
        <w:ind w:left="284" w:hanging="284"/>
      </w:pPr>
      <w:r>
        <w:rPr>
          <w:rStyle w:val="Funotenzeichen"/>
        </w:rPr>
        <w:footnoteRef/>
      </w:r>
      <w:r w:rsidR="00F54A81">
        <w:tab/>
      </w:r>
      <w:r w:rsidR="009410E0">
        <w:t xml:space="preserve">Vgl. </w:t>
      </w:r>
      <w:r>
        <w:t>§ 55e</w:t>
      </w:r>
      <w:r w:rsidR="001602FA">
        <w:t xml:space="preserve"> Abs. 3 i.</w:t>
      </w:r>
      <w:r w:rsidR="00F54A81">
        <w:t> </w:t>
      </w:r>
      <w:r w:rsidR="001602FA">
        <w:t>V.</w:t>
      </w:r>
      <w:r w:rsidR="00F54A81">
        <w:t> </w:t>
      </w:r>
      <w:r w:rsidR="001602FA">
        <w:t>m. §</w:t>
      </w:r>
      <w:r>
        <w:t xml:space="preserve"> 34 Abs. 2 S</w:t>
      </w:r>
      <w:r w:rsidR="00F54A81">
        <w:t>atz</w:t>
      </w:r>
      <w:r>
        <w:t xml:space="preserve"> 2 StBerG</w:t>
      </w:r>
    </w:p>
  </w:footnote>
  <w:footnote w:id="6">
    <w:p w14:paraId="2C01859D" w14:textId="149F947B" w:rsidR="0035497A" w:rsidRDefault="0035497A" w:rsidP="00F54A81">
      <w:pPr>
        <w:pStyle w:val="Funotentext"/>
        <w:spacing w:after="0" w:line="240" w:lineRule="auto"/>
        <w:ind w:left="284" w:hanging="284"/>
      </w:pPr>
      <w:r>
        <w:rPr>
          <w:rStyle w:val="Funotenzeichen"/>
        </w:rPr>
        <w:footnoteRef/>
      </w:r>
      <w:r w:rsidR="00F54A81">
        <w:tab/>
      </w:r>
      <w:r w:rsidR="009410E0">
        <w:t xml:space="preserve">Vgl. </w:t>
      </w:r>
      <w:r>
        <w:t>§ 54 Abs. 4 StBerG</w:t>
      </w:r>
    </w:p>
  </w:footnote>
  <w:footnote w:id="7">
    <w:p w14:paraId="045007EB" w14:textId="4E95FF7B" w:rsidR="000B230E" w:rsidRDefault="000B230E" w:rsidP="005819A7">
      <w:pPr>
        <w:pStyle w:val="Funotentext"/>
        <w:spacing w:after="0" w:line="240" w:lineRule="auto"/>
        <w:ind w:left="284" w:hanging="284"/>
      </w:pPr>
      <w:r>
        <w:rPr>
          <w:rStyle w:val="Funotenzeichen"/>
        </w:rPr>
        <w:footnoteRef/>
      </w:r>
      <w:r w:rsidR="005819A7">
        <w:tab/>
      </w:r>
      <w:r>
        <w:t>Alternativ ist auch eine Sachgründung möglich.</w:t>
      </w:r>
    </w:p>
  </w:footnote>
  <w:footnote w:id="8">
    <w:p w14:paraId="21A98555" w14:textId="4FD99B73" w:rsidR="00841BDF" w:rsidRDefault="00841BDF" w:rsidP="005819A7">
      <w:pPr>
        <w:pStyle w:val="Funotentext"/>
        <w:spacing w:after="0" w:line="240" w:lineRule="auto"/>
        <w:ind w:left="284" w:hanging="284"/>
      </w:pPr>
      <w:r>
        <w:rPr>
          <w:rStyle w:val="Funotenzeichen"/>
        </w:rPr>
        <w:footnoteRef/>
      </w:r>
      <w:r w:rsidR="005819A7">
        <w:tab/>
      </w:r>
      <w:r w:rsidR="009410E0">
        <w:t xml:space="preserve">Vgl. </w:t>
      </w:r>
      <w:r>
        <w:t>§ 55a Abs. 3 StBerG</w:t>
      </w:r>
    </w:p>
  </w:footnote>
  <w:footnote w:id="9">
    <w:p w14:paraId="442D83C2" w14:textId="1549A431" w:rsidR="00841BDF" w:rsidRDefault="00841BDF" w:rsidP="005819A7">
      <w:pPr>
        <w:pStyle w:val="Funotentext"/>
        <w:spacing w:after="0" w:line="240" w:lineRule="auto"/>
        <w:ind w:left="284" w:hanging="284"/>
      </w:pPr>
      <w:r>
        <w:rPr>
          <w:rStyle w:val="Funotenzeichen"/>
        </w:rPr>
        <w:footnoteRef/>
      </w:r>
      <w:r w:rsidR="005819A7">
        <w:tab/>
      </w:r>
      <w:r w:rsidR="009410E0">
        <w:t xml:space="preserve">Vgl. </w:t>
      </w:r>
      <w:r>
        <w:t>§ 55a Abs. 2 S</w:t>
      </w:r>
      <w:r w:rsidR="005819A7">
        <w:t>atz</w:t>
      </w:r>
      <w:r>
        <w:t xml:space="preserve"> 1 StBerG</w:t>
      </w:r>
    </w:p>
  </w:footnote>
  <w:footnote w:id="10">
    <w:p w14:paraId="4631B95E" w14:textId="6354B033" w:rsidR="00280015" w:rsidRDefault="00280015" w:rsidP="005819A7">
      <w:pPr>
        <w:pStyle w:val="Funotentext"/>
        <w:spacing w:after="0" w:line="240" w:lineRule="auto"/>
        <w:ind w:left="284" w:hanging="284"/>
      </w:pPr>
      <w:r>
        <w:rPr>
          <w:rStyle w:val="Funotenzeichen"/>
        </w:rPr>
        <w:footnoteRef/>
      </w:r>
      <w:r w:rsidR="005819A7">
        <w:tab/>
      </w:r>
      <w:r w:rsidR="009410E0">
        <w:t xml:space="preserve">Vgl. </w:t>
      </w:r>
      <w:r>
        <w:t>§ 52 Abs. 2 S</w:t>
      </w:r>
      <w:r w:rsidR="005819A7">
        <w:t>atz</w:t>
      </w:r>
      <w:r>
        <w:t xml:space="preserve"> </w:t>
      </w:r>
      <w:r w:rsidR="00452960">
        <w:t xml:space="preserve">1 </w:t>
      </w:r>
      <w:r>
        <w:t>StBerG</w:t>
      </w:r>
      <w:r w:rsidR="009410E0">
        <w:t xml:space="preserve"> </w:t>
      </w:r>
    </w:p>
  </w:footnote>
  <w:footnote w:id="11">
    <w:p w14:paraId="4F55C772" w14:textId="534F540C" w:rsidR="009C0446" w:rsidRDefault="009C0446" w:rsidP="005819A7">
      <w:pPr>
        <w:pStyle w:val="Funotentext"/>
        <w:spacing w:after="0" w:line="240" w:lineRule="auto"/>
        <w:ind w:left="284" w:hanging="284"/>
      </w:pPr>
      <w:r>
        <w:rPr>
          <w:rStyle w:val="Funotenzeichen"/>
        </w:rPr>
        <w:footnoteRef/>
      </w:r>
      <w:r w:rsidR="005819A7">
        <w:tab/>
      </w:r>
      <w:r>
        <w:t>Vgl. § 55b Abs. 4 StBerG</w:t>
      </w:r>
    </w:p>
  </w:footnote>
  <w:footnote w:id="12">
    <w:p w14:paraId="5C82D37F" w14:textId="74276B47" w:rsidR="00280015" w:rsidRDefault="00280015" w:rsidP="005819A7">
      <w:pPr>
        <w:pStyle w:val="Funotentext"/>
        <w:spacing w:after="0" w:line="240" w:lineRule="auto"/>
        <w:ind w:left="284" w:hanging="284"/>
      </w:pPr>
      <w:r>
        <w:rPr>
          <w:rStyle w:val="Funotenzeichen"/>
        </w:rPr>
        <w:footnoteRef/>
      </w:r>
      <w:r w:rsidR="005819A7">
        <w:tab/>
      </w:r>
      <w:r w:rsidR="009410E0">
        <w:t xml:space="preserve">Vgl. </w:t>
      </w:r>
      <w:r>
        <w:t>§ 52 Abs. 2 S</w:t>
      </w:r>
      <w:r w:rsidR="005819A7">
        <w:t>atz</w:t>
      </w:r>
      <w:r>
        <w:t xml:space="preserve"> 2 StBerG</w:t>
      </w:r>
    </w:p>
  </w:footnote>
  <w:footnote w:id="13">
    <w:p w14:paraId="18B35E71" w14:textId="3164C8BC" w:rsidR="00280015" w:rsidRDefault="00280015" w:rsidP="005819A7">
      <w:pPr>
        <w:pStyle w:val="Funotentext"/>
        <w:spacing w:after="0" w:line="240" w:lineRule="auto"/>
        <w:ind w:left="284" w:hanging="284"/>
      </w:pPr>
      <w:r>
        <w:rPr>
          <w:rStyle w:val="Funotenzeichen"/>
        </w:rPr>
        <w:footnoteRef/>
      </w:r>
      <w:r w:rsidR="005819A7">
        <w:tab/>
      </w:r>
      <w:r w:rsidR="009410E0">
        <w:t xml:space="preserve">Vgl. </w:t>
      </w:r>
      <w:r>
        <w:t>§ 51 Abs. 2 S</w:t>
      </w:r>
      <w:r w:rsidR="005819A7">
        <w:t>atz</w:t>
      </w:r>
      <w:r>
        <w:t xml:space="preserve"> 1 StBerG</w:t>
      </w:r>
    </w:p>
  </w:footnote>
  <w:footnote w:id="14">
    <w:p w14:paraId="057881C7" w14:textId="3E9BA90C" w:rsidR="00280015" w:rsidRDefault="00280015" w:rsidP="005819A7">
      <w:pPr>
        <w:pStyle w:val="Funotentext"/>
        <w:spacing w:after="0" w:line="240" w:lineRule="auto"/>
        <w:ind w:left="284" w:hanging="284"/>
      </w:pPr>
      <w:r>
        <w:rPr>
          <w:rStyle w:val="Funotenzeichen"/>
        </w:rPr>
        <w:footnoteRef/>
      </w:r>
      <w:r w:rsidR="005819A7">
        <w:tab/>
      </w:r>
      <w:r w:rsidR="009410E0">
        <w:t xml:space="preserve">Vgl. </w:t>
      </w:r>
      <w:r>
        <w:t>§ 55b Abs. 5 S</w:t>
      </w:r>
      <w:r w:rsidR="005819A7">
        <w:t>atz</w:t>
      </w:r>
      <w:r>
        <w:t xml:space="preserve"> 1 StBerG</w:t>
      </w:r>
    </w:p>
  </w:footnote>
  <w:footnote w:id="15">
    <w:p w14:paraId="4B2194CC" w14:textId="1D3D5ECF" w:rsidR="00280015" w:rsidRDefault="00280015" w:rsidP="005819A7">
      <w:pPr>
        <w:pStyle w:val="Funotentext"/>
        <w:spacing w:after="0" w:line="240" w:lineRule="auto"/>
        <w:ind w:left="284" w:hanging="284"/>
      </w:pPr>
      <w:r>
        <w:rPr>
          <w:rStyle w:val="Funotenzeichen"/>
        </w:rPr>
        <w:footnoteRef/>
      </w:r>
      <w:r w:rsidR="005819A7">
        <w:tab/>
      </w:r>
      <w:r w:rsidR="009410E0">
        <w:t xml:space="preserve">Vgl. </w:t>
      </w:r>
      <w:r>
        <w:t>§ 62 StBerG</w:t>
      </w:r>
    </w:p>
  </w:footnote>
  <w:footnote w:id="16">
    <w:p w14:paraId="153CE4B3" w14:textId="72691557" w:rsidR="00280015" w:rsidRDefault="00280015" w:rsidP="00836870">
      <w:pPr>
        <w:pStyle w:val="Funotentext"/>
        <w:spacing w:after="0" w:line="240" w:lineRule="auto"/>
        <w:ind w:left="284" w:hanging="284"/>
      </w:pPr>
      <w:r>
        <w:rPr>
          <w:rStyle w:val="Funotenzeichen"/>
        </w:rPr>
        <w:footnoteRef/>
      </w:r>
      <w:r w:rsidR="00836870">
        <w:tab/>
      </w:r>
      <w:r w:rsidR="009410E0">
        <w:t xml:space="preserve">Vgl. </w:t>
      </w:r>
      <w:r>
        <w:t>§ 55b Abs. 7 i.</w:t>
      </w:r>
      <w:r w:rsidR="00836870">
        <w:t> </w:t>
      </w:r>
      <w:r>
        <w:t>V.</w:t>
      </w:r>
      <w:r w:rsidR="00836870">
        <w:t> </w:t>
      </w:r>
      <w:r>
        <w:t>m. Abs. 1</w:t>
      </w:r>
      <w:r w:rsidR="00836870">
        <w:t xml:space="preserve"> </w:t>
      </w:r>
      <w:r>
        <w:t>StBerG</w:t>
      </w:r>
    </w:p>
  </w:footnote>
  <w:footnote w:id="17">
    <w:p w14:paraId="1DC5AC59" w14:textId="036CB1D9" w:rsidR="00A225F1" w:rsidRDefault="00A225F1" w:rsidP="00836870">
      <w:pPr>
        <w:pStyle w:val="Funotentext"/>
        <w:spacing w:after="0" w:line="240" w:lineRule="auto"/>
        <w:ind w:left="284" w:hanging="284"/>
      </w:pPr>
      <w:r>
        <w:rPr>
          <w:rStyle w:val="Funotenzeichen"/>
        </w:rPr>
        <w:footnoteRef/>
      </w:r>
      <w:r w:rsidR="00836870">
        <w:tab/>
      </w:r>
      <w:r w:rsidR="00D14385">
        <w:t xml:space="preserve">Vgl. § 55b Abs. 1 </w:t>
      </w:r>
      <w:r>
        <w:t>StBerG</w:t>
      </w:r>
    </w:p>
  </w:footnote>
  <w:footnote w:id="18">
    <w:p w14:paraId="59920799" w14:textId="4A0E294F" w:rsidR="00280015" w:rsidRDefault="00280015" w:rsidP="00FF6EDA">
      <w:pPr>
        <w:pStyle w:val="Funotentext"/>
        <w:spacing w:after="0" w:line="240" w:lineRule="auto"/>
        <w:ind w:left="284" w:hanging="284"/>
      </w:pPr>
      <w:r>
        <w:rPr>
          <w:rStyle w:val="Funotenzeichen"/>
        </w:rPr>
        <w:footnoteRef/>
      </w:r>
      <w:r w:rsidR="00FF6EDA">
        <w:tab/>
      </w:r>
      <w:r w:rsidR="009410E0">
        <w:t xml:space="preserve">Vgl. </w:t>
      </w:r>
      <w:r>
        <w:t>§ 55a Abs. 5 StBerG</w:t>
      </w:r>
    </w:p>
  </w:footnote>
  <w:footnote w:id="19">
    <w:p w14:paraId="53E9BADD" w14:textId="4BCDD5A0" w:rsidR="00280015" w:rsidRDefault="00280015" w:rsidP="00FF6EDA">
      <w:pPr>
        <w:pStyle w:val="Funotentext"/>
        <w:spacing w:after="0" w:line="240" w:lineRule="auto"/>
        <w:ind w:left="284" w:hanging="284"/>
      </w:pPr>
      <w:r>
        <w:rPr>
          <w:rStyle w:val="Funotenzeichen"/>
        </w:rPr>
        <w:footnoteRef/>
      </w:r>
      <w:r w:rsidR="00FF6EDA">
        <w:tab/>
      </w:r>
      <w:r w:rsidR="009410E0">
        <w:t xml:space="preserve">Vgl. </w:t>
      </w:r>
      <w:r>
        <w:t>§ 55a Abs. 4 StBerG</w:t>
      </w:r>
    </w:p>
  </w:footnote>
  <w:footnote w:id="20">
    <w:p w14:paraId="5C254B51" w14:textId="566286A6" w:rsidR="00F77611" w:rsidRDefault="00F77611" w:rsidP="00FF6EDA">
      <w:pPr>
        <w:pStyle w:val="Funotentext"/>
        <w:spacing w:after="0" w:line="240" w:lineRule="auto"/>
        <w:ind w:left="284" w:hanging="284"/>
      </w:pPr>
      <w:r>
        <w:rPr>
          <w:rStyle w:val="Funotenzeichen"/>
        </w:rPr>
        <w:footnoteRef/>
      </w:r>
      <w:r w:rsidR="00FF6EDA">
        <w:tab/>
      </w:r>
      <w:r>
        <w:t>Vgl. § 34 Abs. 2 StBerG</w:t>
      </w:r>
    </w:p>
  </w:footnote>
  <w:footnote w:id="21">
    <w:p w14:paraId="67B16B96" w14:textId="1E0AA9D4" w:rsidR="00280015" w:rsidRDefault="00280015" w:rsidP="00FF6EDA">
      <w:pPr>
        <w:pStyle w:val="Funotentext"/>
        <w:spacing w:after="0" w:line="240" w:lineRule="auto"/>
        <w:ind w:left="284" w:hanging="284"/>
      </w:pPr>
      <w:r>
        <w:rPr>
          <w:rStyle w:val="Funotenzeichen"/>
        </w:rPr>
        <w:footnoteRef/>
      </w:r>
      <w:r w:rsidR="00FF6EDA">
        <w:tab/>
      </w:r>
      <w:r w:rsidR="009410E0">
        <w:t xml:space="preserve">Vgl. </w:t>
      </w:r>
      <w:r>
        <w:t>§ 55b Abs. 6 StBerG</w:t>
      </w:r>
    </w:p>
  </w:footnote>
  <w:footnote w:id="22">
    <w:p w14:paraId="3117290D" w14:textId="31574892" w:rsidR="00271A2E" w:rsidRDefault="00271A2E" w:rsidP="008912B3">
      <w:pPr>
        <w:pStyle w:val="Funotentext"/>
        <w:spacing w:after="0" w:line="240" w:lineRule="atLeast"/>
        <w:ind w:left="284" w:hanging="284"/>
      </w:pPr>
      <w:r>
        <w:rPr>
          <w:rStyle w:val="Funotenzeichen"/>
        </w:rPr>
        <w:footnoteRef/>
      </w:r>
      <w:r w:rsidR="008912B3">
        <w:tab/>
      </w:r>
      <w:r>
        <w:t xml:space="preserve">Vgl. § 54 Abs. 5 </w:t>
      </w:r>
      <w:r w:rsidR="000A0AFF">
        <w:t>i.</w:t>
      </w:r>
      <w:r w:rsidR="008912B3">
        <w:t> </w:t>
      </w:r>
      <w:r w:rsidR="000A0AFF">
        <w:t>V.</w:t>
      </w:r>
      <w:r w:rsidR="008912B3">
        <w:t> </w:t>
      </w:r>
      <w:r w:rsidR="000A0AFF">
        <w:t>m. Abs. 1 S</w:t>
      </w:r>
      <w:r w:rsidR="008912B3">
        <w:t>atz</w:t>
      </w:r>
      <w:r w:rsidR="000A0AFF">
        <w:t xml:space="preserve"> 2 </w:t>
      </w:r>
      <w:r>
        <w:t>StBerG</w:t>
      </w:r>
    </w:p>
  </w:footnote>
  <w:footnote w:id="23">
    <w:p w14:paraId="3923C00E" w14:textId="469510ED" w:rsidR="000A0AFF" w:rsidRDefault="000A0AFF" w:rsidP="00DD14EC">
      <w:pPr>
        <w:pStyle w:val="Funotentext"/>
        <w:spacing w:after="0" w:line="240" w:lineRule="auto"/>
        <w:ind w:left="284" w:hanging="284"/>
      </w:pPr>
      <w:r>
        <w:rPr>
          <w:rStyle w:val="Funotenzeichen"/>
        </w:rPr>
        <w:footnoteRef/>
      </w:r>
      <w:r w:rsidR="00DD14EC">
        <w:tab/>
      </w:r>
      <w:r>
        <w:t>§ 51 Abs. 5 StBerG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3A3C" w14:textId="402BF883" w:rsidR="00F06A90" w:rsidRDefault="00F86C35">
    <w:pPr>
      <w:pStyle w:val="Kopfzeile"/>
    </w:pPr>
    <w:r>
      <w:rPr>
        <w:noProof/>
      </w:rPr>
      <w:pict w14:anchorId="63C2B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17.7pt;height:61.75pt;rotation:315;z-index:-251655168;mso-position-horizontal:center;mso-position-horizontal-relative:margin;mso-position-vertical:center;mso-position-vertical-relative:margin" o:allowincell="f" fillcolor="silver" stroked="f">
          <v:fill opacity=".5"/>
          <v:textpath style="font-family:&quot;Arial&quot;;font-size:1pt" string="unverbindliches 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DCDA" w14:textId="04713391" w:rsidR="00F06A90" w:rsidRDefault="00F86C35">
    <w:pPr>
      <w:pStyle w:val="Kopfzeile"/>
    </w:pPr>
    <w:r>
      <w:rPr>
        <w:noProof/>
      </w:rPr>
      <w:pict w14:anchorId="68865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17.7pt;height:61.75pt;rotation:315;z-index:-251653120;mso-position-horizontal:center;mso-position-horizontal-relative:margin;mso-position-vertical:center;mso-position-vertical-relative:margin" o:allowincell="f" fillcolor="silver" stroked="f">
          <v:fill opacity=".5"/>
          <v:textpath style="font-family:&quot;Arial&quot;;font-size:1pt" string="unverbindliches 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14030E8"/>
    <w:lvl w:ilvl="0">
      <w:numFmt w:val="bullet"/>
      <w:lvlText w:val="*"/>
      <w:lvlJc w:val="left"/>
    </w:lvl>
  </w:abstractNum>
  <w:abstractNum w:abstractNumId="1" w15:restartNumberingAfterBreak="0">
    <w:nsid w:val="01F2482A"/>
    <w:multiLevelType w:val="hybridMultilevel"/>
    <w:tmpl w:val="9B2438E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213305"/>
    <w:multiLevelType w:val="hybridMultilevel"/>
    <w:tmpl w:val="1B96C80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06550D56"/>
    <w:multiLevelType w:val="hybridMultilevel"/>
    <w:tmpl w:val="865E5782"/>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4812C8"/>
    <w:multiLevelType w:val="hybridMultilevel"/>
    <w:tmpl w:val="708AE19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DA35376"/>
    <w:multiLevelType w:val="hybridMultilevel"/>
    <w:tmpl w:val="472E47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0148B8"/>
    <w:multiLevelType w:val="hybridMultilevel"/>
    <w:tmpl w:val="ACDAA38A"/>
    <w:lvl w:ilvl="0" w:tplc="04070015">
      <w:start w:val="1"/>
      <w:numFmt w:val="decimal"/>
      <w:lvlText w:val="(%1)"/>
      <w:lvlJc w:val="left"/>
      <w:pPr>
        <w:ind w:left="720" w:hanging="360"/>
      </w:pPr>
      <w:rPr>
        <w:rFonts w:hint="default"/>
      </w:rPr>
    </w:lvl>
    <w:lvl w:ilvl="1" w:tplc="7932F6D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E11139"/>
    <w:multiLevelType w:val="hybridMultilevel"/>
    <w:tmpl w:val="BAFCCFC0"/>
    <w:lvl w:ilvl="0" w:tplc="68367B36">
      <w:start w:val="1"/>
      <w:numFmt w:val="decimal"/>
      <w:lvlText w:val="(%1)"/>
      <w:lvlJc w:val="left"/>
      <w:pPr>
        <w:tabs>
          <w:tab w:val="num" w:pos="1429"/>
        </w:tabs>
        <w:ind w:left="1429"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9306DEC"/>
    <w:multiLevelType w:val="hybridMultilevel"/>
    <w:tmpl w:val="829E6AB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813DA9"/>
    <w:multiLevelType w:val="hybridMultilevel"/>
    <w:tmpl w:val="8C24DAA8"/>
    <w:lvl w:ilvl="0" w:tplc="6CB8608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653EEA"/>
    <w:multiLevelType w:val="hybridMultilevel"/>
    <w:tmpl w:val="3EA0CDC4"/>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105157"/>
    <w:multiLevelType w:val="hybridMultilevel"/>
    <w:tmpl w:val="67C8F04E"/>
    <w:lvl w:ilvl="0" w:tplc="04070015">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7A219F6"/>
    <w:multiLevelType w:val="hybridMultilevel"/>
    <w:tmpl w:val="F44EF6CE"/>
    <w:lvl w:ilvl="0" w:tplc="1172884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623320"/>
    <w:multiLevelType w:val="hybridMultilevel"/>
    <w:tmpl w:val="27A07C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4F0AAB"/>
    <w:multiLevelType w:val="hybridMultilevel"/>
    <w:tmpl w:val="5E08ABE4"/>
    <w:lvl w:ilvl="0" w:tplc="DED4F55E">
      <w:start w:val="1"/>
      <w:numFmt w:val="decimal"/>
      <w:lvlText w:val="(%1)"/>
      <w:lvlJc w:val="left"/>
      <w:pPr>
        <w:ind w:left="1146" w:hanging="360"/>
      </w:pPr>
      <w:rPr>
        <w:i w:val="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 w15:restartNumberingAfterBreak="0">
    <w:nsid w:val="319B40F1"/>
    <w:multiLevelType w:val="hybridMultilevel"/>
    <w:tmpl w:val="42925196"/>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28668C"/>
    <w:multiLevelType w:val="hybridMultilevel"/>
    <w:tmpl w:val="D83CEDE6"/>
    <w:lvl w:ilvl="0" w:tplc="04070015">
      <w:start w:val="1"/>
      <w:numFmt w:val="decimal"/>
      <w:lvlText w:val="(%1)"/>
      <w:lvlJc w:val="left"/>
      <w:pPr>
        <w:ind w:left="502" w:hanging="360"/>
      </w:pPr>
      <w:rPr>
        <w:rFonts w:hint="default"/>
      </w:rPr>
    </w:lvl>
    <w:lvl w:ilvl="1" w:tplc="7932F6D6">
      <w:start w:val="1"/>
      <w:numFmt w:val="lowerLetter"/>
      <w:lvlText w:val="%2)"/>
      <w:lvlJc w:val="left"/>
      <w:pPr>
        <w:ind w:left="1222" w:hanging="360"/>
      </w:pPr>
      <w:rPr>
        <w:rFonts w:hint="default"/>
      </w:r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331C68E2"/>
    <w:multiLevelType w:val="hybridMultilevel"/>
    <w:tmpl w:val="350C9AD0"/>
    <w:lvl w:ilvl="0" w:tplc="0FFC82D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5E1DAB"/>
    <w:multiLevelType w:val="hybridMultilevel"/>
    <w:tmpl w:val="58BA5F24"/>
    <w:lvl w:ilvl="0" w:tplc="04070015">
      <w:start w:val="1"/>
      <w:numFmt w:val="decimal"/>
      <w:lvlText w:val="(%1)"/>
      <w:lvlJc w:val="left"/>
      <w:pPr>
        <w:ind w:left="720" w:hanging="360"/>
      </w:pPr>
      <w:rPr>
        <w:rFonts w:hint="default"/>
      </w:rPr>
    </w:lvl>
    <w:lvl w:ilvl="1" w:tplc="7932F6D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70F7C72"/>
    <w:multiLevelType w:val="hybridMultilevel"/>
    <w:tmpl w:val="09AC8D2E"/>
    <w:lvl w:ilvl="0" w:tplc="317E1028">
      <w:start w:val="1"/>
      <w:numFmt w:val="decimal"/>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0" w15:restartNumberingAfterBreak="0">
    <w:nsid w:val="423F36F3"/>
    <w:multiLevelType w:val="hybridMultilevel"/>
    <w:tmpl w:val="16B47A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A56438"/>
    <w:multiLevelType w:val="hybridMultilevel"/>
    <w:tmpl w:val="E6E81662"/>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A52E93"/>
    <w:multiLevelType w:val="hybridMultilevel"/>
    <w:tmpl w:val="59A8E77E"/>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573737"/>
    <w:multiLevelType w:val="hybridMultilevel"/>
    <w:tmpl w:val="DC3A5FDC"/>
    <w:lvl w:ilvl="0" w:tplc="64244EC0">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B77BBD"/>
    <w:multiLevelType w:val="hybridMultilevel"/>
    <w:tmpl w:val="B2980862"/>
    <w:lvl w:ilvl="0" w:tplc="15F22A14">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03668F9"/>
    <w:multiLevelType w:val="hybridMultilevel"/>
    <w:tmpl w:val="B1AA6394"/>
    <w:lvl w:ilvl="0" w:tplc="A57E3B84">
      <w:start w:val="1"/>
      <w:numFmt w:val="lowerLetter"/>
      <w:lvlText w:val="(%1)"/>
      <w:lvlJc w:val="left"/>
      <w:pPr>
        <w:ind w:left="1069" w:hanging="360"/>
      </w:pPr>
      <w:rPr>
        <w:rFonts w:hint="default"/>
      </w:rPr>
    </w:lvl>
    <w:lvl w:ilvl="1" w:tplc="04070019" w:tentative="1">
      <w:start w:val="1"/>
      <w:numFmt w:val="lowerLetter"/>
      <w:lvlText w:val="%2."/>
      <w:lvlJc w:val="left"/>
      <w:pPr>
        <w:ind w:left="643" w:hanging="360"/>
      </w:pPr>
    </w:lvl>
    <w:lvl w:ilvl="2" w:tplc="0407001B" w:tentative="1">
      <w:start w:val="1"/>
      <w:numFmt w:val="lowerRoman"/>
      <w:lvlText w:val="%3."/>
      <w:lvlJc w:val="right"/>
      <w:pPr>
        <w:ind w:left="1363" w:hanging="180"/>
      </w:pPr>
    </w:lvl>
    <w:lvl w:ilvl="3" w:tplc="0407000F" w:tentative="1">
      <w:start w:val="1"/>
      <w:numFmt w:val="decimal"/>
      <w:lvlText w:val="%4."/>
      <w:lvlJc w:val="left"/>
      <w:pPr>
        <w:ind w:left="2083" w:hanging="360"/>
      </w:pPr>
    </w:lvl>
    <w:lvl w:ilvl="4" w:tplc="04070019" w:tentative="1">
      <w:start w:val="1"/>
      <w:numFmt w:val="lowerLetter"/>
      <w:lvlText w:val="%5."/>
      <w:lvlJc w:val="left"/>
      <w:pPr>
        <w:ind w:left="2803" w:hanging="360"/>
      </w:pPr>
    </w:lvl>
    <w:lvl w:ilvl="5" w:tplc="0407001B" w:tentative="1">
      <w:start w:val="1"/>
      <w:numFmt w:val="lowerRoman"/>
      <w:lvlText w:val="%6."/>
      <w:lvlJc w:val="right"/>
      <w:pPr>
        <w:ind w:left="3523" w:hanging="180"/>
      </w:pPr>
    </w:lvl>
    <w:lvl w:ilvl="6" w:tplc="0407000F" w:tentative="1">
      <w:start w:val="1"/>
      <w:numFmt w:val="decimal"/>
      <w:lvlText w:val="%7."/>
      <w:lvlJc w:val="left"/>
      <w:pPr>
        <w:ind w:left="4243" w:hanging="360"/>
      </w:pPr>
    </w:lvl>
    <w:lvl w:ilvl="7" w:tplc="04070019" w:tentative="1">
      <w:start w:val="1"/>
      <w:numFmt w:val="lowerLetter"/>
      <w:lvlText w:val="%8."/>
      <w:lvlJc w:val="left"/>
      <w:pPr>
        <w:ind w:left="4963" w:hanging="360"/>
      </w:pPr>
    </w:lvl>
    <w:lvl w:ilvl="8" w:tplc="0407001B" w:tentative="1">
      <w:start w:val="1"/>
      <w:numFmt w:val="lowerRoman"/>
      <w:lvlText w:val="%9."/>
      <w:lvlJc w:val="right"/>
      <w:pPr>
        <w:ind w:left="5683" w:hanging="180"/>
      </w:pPr>
    </w:lvl>
  </w:abstractNum>
  <w:abstractNum w:abstractNumId="26" w15:restartNumberingAfterBreak="0">
    <w:nsid w:val="53B2128B"/>
    <w:multiLevelType w:val="hybridMultilevel"/>
    <w:tmpl w:val="45BA424C"/>
    <w:lvl w:ilvl="0" w:tplc="B87049F8">
      <w:start w:val="1"/>
      <w:numFmt w:val="decimal"/>
      <w:lvlText w:val="(%1)"/>
      <w:lvlJc w:val="left"/>
      <w:pPr>
        <w:ind w:left="780" w:hanging="420"/>
      </w:pPr>
      <w:rPr>
        <w:rFonts w:hint="default"/>
      </w:rPr>
    </w:lvl>
    <w:lvl w:ilvl="1" w:tplc="DB724DF2">
      <w:start w:val="1"/>
      <w:numFmt w:val="lowerLetter"/>
      <w:lvlText w:val="(%2)"/>
      <w:lvlJc w:val="left"/>
      <w:pPr>
        <w:ind w:left="1515" w:hanging="43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A34443"/>
    <w:multiLevelType w:val="hybridMultilevel"/>
    <w:tmpl w:val="82CA108E"/>
    <w:lvl w:ilvl="0" w:tplc="04070017">
      <w:start w:val="1"/>
      <w:numFmt w:val="lowerLetter"/>
      <w:lvlText w:val="%1)"/>
      <w:lvlJc w:val="left"/>
      <w:pPr>
        <w:ind w:left="1146" w:hanging="360"/>
      </w:pPr>
    </w:lvl>
    <w:lvl w:ilvl="1" w:tplc="A57E3B84">
      <w:start w:val="1"/>
      <w:numFmt w:val="lowerLetter"/>
      <w:lvlText w:val="(%2)"/>
      <w:lvlJc w:val="left"/>
      <w:pPr>
        <w:ind w:left="1866" w:hanging="360"/>
      </w:pPr>
      <w:rPr>
        <w:rFonts w:hint="default"/>
      </w:rPr>
    </w:lvl>
    <w:lvl w:ilvl="2" w:tplc="0407001B">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8" w15:restartNumberingAfterBreak="0">
    <w:nsid w:val="58B560CB"/>
    <w:multiLevelType w:val="hybridMultilevel"/>
    <w:tmpl w:val="67C8F04E"/>
    <w:lvl w:ilvl="0" w:tplc="04070015">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9600B9B"/>
    <w:multiLevelType w:val="hybridMultilevel"/>
    <w:tmpl w:val="6F581584"/>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EE58CF"/>
    <w:multiLevelType w:val="hybridMultilevel"/>
    <w:tmpl w:val="45BA424C"/>
    <w:lvl w:ilvl="0" w:tplc="B87049F8">
      <w:start w:val="1"/>
      <w:numFmt w:val="decimal"/>
      <w:lvlText w:val="(%1)"/>
      <w:lvlJc w:val="left"/>
      <w:pPr>
        <w:ind w:left="780" w:hanging="420"/>
      </w:pPr>
      <w:rPr>
        <w:rFonts w:hint="default"/>
      </w:rPr>
    </w:lvl>
    <w:lvl w:ilvl="1" w:tplc="DB724DF2">
      <w:start w:val="1"/>
      <w:numFmt w:val="lowerLetter"/>
      <w:lvlText w:val="(%2)"/>
      <w:lvlJc w:val="left"/>
      <w:pPr>
        <w:ind w:left="1515" w:hanging="43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717680"/>
    <w:multiLevelType w:val="hybridMultilevel"/>
    <w:tmpl w:val="9C4821CA"/>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2C6563"/>
    <w:multiLevelType w:val="hybridMultilevel"/>
    <w:tmpl w:val="B6AA0AF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A96F81"/>
    <w:multiLevelType w:val="hybridMultilevel"/>
    <w:tmpl w:val="1F4E4C78"/>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E140AD"/>
    <w:multiLevelType w:val="hybridMultilevel"/>
    <w:tmpl w:val="B78888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C75112"/>
    <w:multiLevelType w:val="singleLevel"/>
    <w:tmpl w:val="B8D67D56"/>
    <w:lvl w:ilvl="0">
      <w:start w:val="1"/>
      <w:numFmt w:val="decimal"/>
      <w:lvlText w:val="(%1)"/>
      <w:lvlJc w:val="left"/>
      <w:pPr>
        <w:tabs>
          <w:tab w:val="num" w:pos="705"/>
        </w:tabs>
        <w:ind w:left="705" w:hanging="705"/>
      </w:pPr>
      <w:rPr>
        <w:rFonts w:hint="default"/>
      </w:rPr>
    </w:lvl>
  </w:abstractNum>
  <w:abstractNum w:abstractNumId="36" w15:restartNumberingAfterBreak="0">
    <w:nsid w:val="6D91346B"/>
    <w:multiLevelType w:val="hybridMultilevel"/>
    <w:tmpl w:val="D806FB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B4568C"/>
    <w:multiLevelType w:val="hybridMultilevel"/>
    <w:tmpl w:val="D80031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CC5B1A"/>
    <w:multiLevelType w:val="hybridMultilevel"/>
    <w:tmpl w:val="D4FA221E"/>
    <w:lvl w:ilvl="0" w:tplc="596E5136">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2EB0034"/>
    <w:multiLevelType w:val="hybridMultilevel"/>
    <w:tmpl w:val="EA0A3B38"/>
    <w:lvl w:ilvl="0" w:tplc="56267A5E">
      <w:start w:val="2"/>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4F944DC"/>
    <w:multiLevelType w:val="hybridMultilevel"/>
    <w:tmpl w:val="DDA6D240"/>
    <w:lvl w:ilvl="0" w:tplc="A57E3B84">
      <w:start w:val="1"/>
      <w:numFmt w:val="lowerLetter"/>
      <w:lvlText w:val="(%1)"/>
      <w:lvlJc w:val="left"/>
      <w:pPr>
        <w:ind w:left="1146" w:hanging="360"/>
      </w:pPr>
      <w:rPr>
        <w:rFonts w:hint="default"/>
      </w:rPr>
    </w:lvl>
    <w:lvl w:ilvl="1" w:tplc="A57E3B84">
      <w:start w:val="1"/>
      <w:numFmt w:val="lowerLetter"/>
      <w:lvlText w:val="(%2)"/>
      <w:lvlJc w:val="left"/>
      <w:pPr>
        <w:ind w:left="1866" w:hanging="360"/>
      </w:pPr>
      <w:rPr>
        <w:rFonts w:hint="default"/>
      </w:rPr>
    </w:lvl>
    <w:lvl w:ilvl="2" w:tplc="0407001B">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1" w15:restartNumberingAfterBreak="0">
    <w:nsid w:val="76B83146"/>
    <w:multiLevelType w:val="hybridMultilevel"/>
    <w:tmpl w:val="258CCA52"/>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94682199">
    <w:abstractNumId w:val="35"/>
  </w:num>
  <w:num w:numId="2" w16cid:durableId="989141277">
    <w:abstractNumId w:val="7"/>
  </w:num>
  <w:num w:numId="3" w16cid:durableId="679890808">
    <w:abstractNumId w:val="19"/>
  </w:num>
  <w:num w:numId="4" w16cid:durableId="2015373072">
    <w:abstractNumId w:val="9"/>
  </w:num>
  <w:num w:numId="5" w16cid:durableId="650209829">
    <w:abstractNumId w:val="20"/>
  </w:num>
  <w:num w:numId="6" w16cid:durableId="1778403849">
    <w:abstractNumId w:val="36"/>
  </w:num>
  <w:num w:numId="7" w16cid:durableId="761687426">
    <w:abstractNumId w:val="11"/>
  </w:num>
  <w:num w:numId="8" w16cid:durableId="1724869126">
    <w:abstractNumId w:val="13"/>
  </w:num>
  <w:num w:numId="9" w16cid:durableId="1340738085">
    <w:abstractNumId w:val="38"/>
  </w:num>
  <w:num w:numId="10" w16cid:durableId="810171570">
    <w:abstractNumId w:val="24"/>
  </w:num>
  <w:num w:numId="11" w16cid:durableId="616108849">
    <w:abstractNumId w:val="4"/>
  </w:num>
  <w:num w:numId="12" w16cid:durableId="1760523653">
    <w:abstractNumId w:val="12"/>
  </w:num>
  <w:num w:numId="13" w16cid:durableId="111437425">
    <w:abstractNumId w:val="1"/>
  </w:num>
  <w:num w:numId="14" w16cid:durableId="1188250670">
    <w:abstractNumId w:val="17"/>
  </w:num>
  <w:num w:numId="15" w16cid:durableId="1710376800">
    <w:abstractNumId w:val="34"/>
  </w:num>
  <w:num w:numId="16" w16cid:durableId="1225290382">
    <w:abstractNumId w:val="33"/>
  </w:num>
  <w:num w:numId="17" w16cid:durableId="176240713">
    <w:abstractNumId w:val="31"/>
  </w:num>
  <w:num w:numId="18" w16cid:durableId="927151338">
    <w:abstractNumId w:val="26"/>
  </w:num>
  <w:num w:numId="19" w16cid:durableId="1940209902">
    <w:abstractNumId w:val="23"/>
  </w:num>
  <w:num w:numId="20" w16cid:durableId="914625343">
    <w:abstractNumId w:val="14"/>
  </w:num>
  <w:num w:numId="21" w16cid:durableId="1971394996">
    <w:abstractNumId w:val="32"/>
  </w:num>
  <w:num w:numId="22" w16cid:durableId="344481886">
    <w:abstractNumId w:val="21"/>
  </w:num>
  <w:num w:numId="23" w16cid:durableId="1619213507">
    <w:abstractNumId w:val="41"/>
  </w:num>
  <w:num w:numId="24" w16cid:durableId="543104566">
    <w:abstractNumId w:val="10"/>
  </w:num>
  <w:num w:numId="25" w16cid:durableId="1800802144">
    <w:abstractNumId w:val="15"/>
  </w:num>
  <w:num w:numId="26" w16cid:durableId="439572654">
    <w:abstractNumId w:val="16"/>
  </w:num>
  <w:num w:numId="27" w16cid:durableId="1279869581">
    <w:abstractNumId w:val="5"/>
  </w:num>
  <w:num w:numId="28" w16cid:durableId="1711106952">
    <w:abstractNumId w:val="37"/>
  </w:num>
  <w:num w:numId="29" w16cid:durableId="21129925">
    <w:abstractNumId w:val="8"/>
  </w:num>
  <w:num w:numId="30" w16cid:durableId="1661078721">
    <w:abstractNumId w:val="22"/>
  </w:num>
  <w:num w:numId="31" w16cid:durableId="1358848381">
    <w:abstractNumId w:val="3"/>
  </w:num>
  <w:num w:numId="32" w16cid:durableId="563758450">
    <w:abstractNumId w:val="29"/>
  </w:num>
  <w:num w:numId="33" w16cid:durableId="1661418754">
    <w:abstractNumId w:val="27"/>
  </w:num>
  <w:num w:numId="34" w16cid:durableId="419714395">
    <w:abstractNumId w:val="40"/>
  </w:num>
  <w:num w:numId="35" w16cid:durableId="1211501380">
    <w:abstractNumId w:val="0"/>
    <w:lvlOverride w:ilvl="0">
      <w:lvl w:ilvl="0">
        <w:numFmt w:val="bullet"/>
        <w:lvlText w:val=""/>
        <w:legacy w:legacy="1" w:legacySpace="0" w:legacyIndent="360"/>
        <w:lvlJc w:val="left"/>
        <w:rPr>
          <w:rFonts w:ascii="Symbol" w:hAnsi="Symbol" w:hint="default"/>
        </w:rPr>
      </w:lvl>
    </w:lvlOverride>
  </w:num>
  <w:num w:numId="36" w16cid:durableId="871304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9729155">
    <w:abstractNumId w:val="39"/>
  </w:num>
  <w:num w:numId="38" w16cid:durableId="2015107856">
    <w:abstractNumId w:val="18"/>
  </w:num>
  <w:num w:numId="39" w16cid:durableId="1138915629">
    <w:abstractNumId w:val="6"/>
  </w:num>
  <w:num w:numId="40" w16cid:durableId="1194424081">
    <w:abstractNumId w:val="25"/>
  </w:num>
  <w:num w:numId="41" w16cid:durableId="1350326431">
    <w:abstractNumId w:val="30"/>
  </w:num>
  <w:num w:numId="42" w16cid:durableId="4917209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2b7839bf-a9c5-4c3f-b569-e1230519c5ab"/>
    <w:docVar w:name="dgnword-docGUID" w:val="{10C44CE9-9A89-4303-9C94-63C8F9049304}"/>
    <w:docVar w:name="dgnword-eventsink" w:val="439311336"/>
  </w:docVars>
  <w:rsids>
    <w:rsidRoot w:val="00E8545D"/>
    <w:rsid w:val="00005D11"/>
    <w:rsid w:val="000206CA"/>
    <w:rsid w:val="0002564E"/>
    <w:rsid w:val="0004055A"/>
    <w:rsid w:val="00040A9B"/>
    <w:rsid w:val="00042BBA"/>
    <w:rsid w:val="00043076"/>
    <w:rsid w:val="00047423"/>
    <w:rsid w:val="00047891"/>
    <w:rsid w:val="0005641E"/>
    <w:rsid w:val="000564A6"/>
    <w:rsid w:val="0007641C"/>
    <w:rsid w:val="00076632"/>
    <w:rsid w:val="0008041C"/>
    <w:rsid w:val="00086371"/>
    <w:rsid w:val="00090D05"/>
    <w:rsid w:val="000A012E"/>
    <w:rsid w:val="000A0AFF"/>
    <w:rsid w:val="000A208A"/>
    <w:rsid w:val="000A5AF4"/>
    <w:rsid w:val="000B230E"/>
    <w:rsid w:val="000C144E"/>
    <w:rsid w:val="000C19F6"/>
    <w:rsid w:val="000C53A8"/>
    <w:rsid w:val="000C7893"/>
    <w:rsid w:val="000D020D"/>
    <w:rsid w:val="000E1FB7"/>
    <w:rsid w:val="000E34AF"/>
    <w:rsid w:val="001021C3"/>
    <w:rsid w:val="001040B3"/>
    <w:rsid w:val="001219A3"/>
    <w:rsid w:val="001533BA"/>
    <w:rsid w:val="001602FA"/>
    <w:rsid w:val="00161BC3"/>
    <w:rsid w:val="001713D1"/>
    <w:rsid w:val="00177FB4"/>
    <w:rsid w:val="00187C55"/>
    <w:rsid w:val="001A4D6E"/>
    <w:rsid w:val="001B1B3C"/>
    <w:rsid w:val="001D2B09"/>
    <w:rsid w:val="001E0192"/>
    <w:rsid w:val="001E1BD6"/>
    <w:rsid w:val="0021265B"/>
    <w:rsid w:val="002167CF"/>
    <w:rsid w:val="00225487"/>
    <w:rsid w:val="002260AC"/>
    <w:rsid w:val="002271A0"/>
    <w:rsid w:val="002272BF"/>
    <w:rsid w:val="00231048"/>
    <w:rsid w:val="00231A01"/>
    <w:rsid w:val="00232365"/>
    <w:rsid w:val="00241010"/>
    <w:rsid w:val="00241116"/>
    <w:rsid w:val="00245B46"/>
    <w:rsid w:val="00262A1E"/>
    <w:rsid w:val="00271A2E"/>
    <w:rsid w:val="002755FE"/>
    <w:rsid w:val="00280015"/>
    <w:rsid w:val="00291531"/>
    <w:rsid w:val="00291DC2"/>
    <w:rsid w:val="002B1C3F"/>
    <w:rsid w:val="002D39B7"/>
    <w:rsid w:val="002E2A70"/>
    <w:rsid w:val="002E61F4"/>
    <w:rsid w:val="002F3876"/>
    <w:rsid w:val="003031D6"/>
    <w:rsid w:val="00310E0E"/>
    <w:rsid w:val="003248D6"/>
    <w:rsid w:val="003269FA"/>
    <w:rsid w:val="00326C1B"/>
    <w:rsid w:val="003318E7"/>
    <w:rsid w:val="0033713E"/>
    <w:rsid w:val="00341EC5"/>
    <w:rsid w:val="0035497A"/>
    <w:rsid w:val="00354EE5"/>
    <w:rsid w:val="00365BA1"/>
    <w:rsid w:val="003743F9"/>
    <w:rsid w:val="003823C6"/>
    <w:rsid w:val="003A12D3"/>
    <w:rsid w:val="003A289B"/>
    <w:rsid w:val="003A2C09"/>
    <w:rsid w:val="003A7E7F"/>
    <w:rsid w:val="003B52E2"/>
    <w:rsid w:val="003B77D2"/>
    <w:rsid w:val="003C123C"/>
    <w:rsid w:val="003D14FE"/>
    <w:rsid w:val="003D64BA"/>
    <w:rsid w:val="003E4A4B"/>
    <w:rsid w:val="003E54D7"/>
    <w:rsid w:val="0040035D"/>
    <w:rsid w:val="00401310"/>
    <w:rsid w:val="00406226"/>
    <w:rsid w:val="00411BBD"/>
    <w:rsid w:val="00425334"/>
    <w:rsid w:val="00432BDC"/>
    <w:rsid w:val="004358F5"/>
    <w:rsid w:val="00441011"/>
    <w:rsid w:val="00452960"/>
    <w:rsid w:val="00453076"/>
    <w:rsid w:val="00453B5E"/>
    <w:rsid w:val="004548D7"/>
    <w:rsid w:val="004566BF"/>
    <w:rsid w:val="00457146"/>
    <w:rsid w:val="00462E25"/>
    <w:rsid w:val="00464BD1"/>
    <w:rsid w:val="00481638"/>
    <w:rsid w:val="004A0C47"/>
    <w:rsid w:val="004A61C6"/>
    <w:rsid w:val="004B29DF"/>
    <w:rsid w:val="004D0A46"/>
    <w:rsid w:val="004D2BD6"/>
    <w:rsid w:val="004E20E9"/>
    <w:rsid w:val="004E3C45"/>
    <w:rsid w:val="00515F10"/>
    <w:rsid w:val="00515FB6"/>
    <w:rsid w:val="00540251"/>
    <w:rsid w:val="00550BA5"/>
    <w:rsid w:val="00552E4A"/>
    <w:rsid w:val="00566517"/>
    <w:rsid w:val="00575A79"/>
    <w:rsid w:val="00575CFD"/>
    <w:rsid w:val="00577F27"/>
    <w:rsid w:val="00580A27"/>
    <w:rsid w:val="005819A7"/>
    <w:rsid w:val="00586393"/>
    <w:rsid w:val="00595E1D"/>
    <w:rsid w:val="005A37C2"/>
    <w:rsid w:val="005B664E"/>
    <w:rsid w:val="005B7B2F"/>
    <w:rsid w:val="005C12CA"/>
    <w:rsid w:val="005D3988"/>
    <w:rsid w:val="005D7D2C"/>
    <w:rsid w:val="005E1132"/>
    <w:rsid w:val="005F58C8"/>
    <w:rsid w:val="005F7F29"/>
    <w:rsid w:val="00607730"/>
    <w:rsid w:val="00614B47"/>
    <w:rsid w:val="00634C70"/>
    <w:rsid w:val="0063553D"/>
    <w:rsid w:val="0064033C"/>
    <w:rsid w:val="006425CF"/>
    <w:rsid w:val="00642F93"/>
    <w:rsid w:val="00663B6F"/>
    <w:rsid w:val="0067017B"/>
    <w:rsid w:val="00671A02"/>
    <w:rsid w:val="006721BD"/>
    <w:rsid w:val="00682C56"/>
    <w:rsid w:val="0069541C"/>
    <w:rsid w:val="006A43E6"/>
    <w:rsid w:val="006B035B"/>
    <w:rsid w:val="006B742D"/>
    <w:rsid w:val="006C38A1"/>
    <w:rsid w:val="006D2BC0"/>
    <w:rsid w:val="006D37B1"/>
    <w:rsid w:val="006D54E1"/>
    <w:rsid w:val="006F135B"/>
    <w:rsid w:val="007002B0"/>
    <w:rsid w:val="007027D1"/>
    <w:rsid w:val="007063AB"/>
    <w:rsid w:val="00706941"/>
    <w:rsid w:val="00715B7D"/>
    <w:rsid w:val="00734364"/>
    <w:rsid w:val="00772303"/>
    <w:rsid w:val="0077414A"/>
    <w:rsid w:val="00781A05"/>
    <w:rsid w:val="0078586F"/>
    <w:rsid w:val="00786DEC"/>
    <w:rsid w:val="0078750F"/>
    <w:rsid w:val="00792CB3"/>
    <w:rsid w:val="00794F0D"/>
    <w:rsid w:val="007B307B"/>
    <w:rsid w:val="007C0F66"/>
    <w:rsid w:val="007C3158"/>
    <w:rsid w:val="007D24A3"/>
    <w:rsid w:val="007D2B29"/>
    <w:rsid w:val="00801841"/>
    <w:rsid w:val="008060D6"/>
    <w:rsid w:val="00815EF4"/>
    <w:rsid w:val="00836870"/>
    <w:rsid w:val="00841BDF"/>
    <w:rsid w:val="008433EC"/>
    <w:rsid w:val="008501C9"/>
    <w:rsid w:val="00864680"/>
    <w:rsid w:val="00867B51"/>
    <w:rsid w:val="00871322"/>
    <w:rsid w:val="00876404"/>
    <w:rsid w:val="008912B3"/>
    <w:rsid w:val="008A52A9"/>
    <w:rsid w:val="008A5CC2"/>
    <w:rsid w:val="008B48F6"/>
    <w:rsid w:val="008C0766"/>
    <w:rsid w:val="008D0D15"/>
    <w:rsid w:val="008D1541"/>
    <w:rsid w:val="008D33D8"/>
    <w:rsid w:val="008D5788"/>
    <w:rsid w:val="008E4533"/>
    <w:rsid w:val="008F08B0"/>
    <w:rsid w:val="009025D7"/>
    <w:rsid w:val="00921FEE"/>
    <w:rsid w:val="0093202F"/>
    <w:rsid w:val="009410E0"/>
    <w:rsid w:val="00961E8A"/>
    <w:rsid w:val="00966FD2"/>
    <w:rsid w:val="0097208C"/>
    <w:rsid w:val="009723E4"/>
    <w:rsid w:val="00976352"/>
    <w:rsid w:val="00977289"/>
    <w:rsid w:val="009A047F"/>
    <w:rsid w:val="009B4DB1"/>
    <w:rsid w:val="009B7BCB"/>
    <w:rsid w:val="009C0446"/>
    <w:rsid w:val="009D1BF1"/>
    <w:rsid w:val="009E79E5"/>
    <w:rsid w:val="009F02DB"/>
    <w:rsid w:val="009F6A3D"/>
    <w:rsid w:val="00A010F8"/>
    <w:rsid w:val="00A0364D"/>
    <w:rsid w:val="00A0781E"/>
    <w:rsid w:val="00A11F54"/>
    <w:rsid w:val="00A225F1"/>
    <w:rsid w:val="00A226D5"/>
    <w:rsid w:val="00A24E22"/>
    <w:rsid w:val="00A25E8A"/>
    <w:rsid w:val="00A264D8"/>
    <w:rsid w:val="00A278F3"/>
    <w:rsid w:val="00A34429"/>
    <w:rsid w:val="00A35F89"/>
    <w:rsid w:val="00A41883"/>
    <w:rsid w:val="00A748D3"/>
    <w:rsid w:val="00A764F3"/>
    <w:rsid w:val="00A82539"/>
    <w:rsid w:val="00A87378"/>
    <w:rsid w:val="00AA4B07"/>
    <w:rsid w:val="00AA551E"/>
    <w:rsid w:val="00AB7F0E"/>
    <w:rsid w:val="00AC2EF2"/>
    <w:rsid w:val="00AC3102"/>
    <w:rsid w:val="00AD1199"/>
    <w:rsid w:val="00AD4819"/>
    <w:rsid w:val="00AE7827"/>
    <w:rsid w:val="00AF78EE"/>
    <w:rsid w:val="00B01CB7"/>
    <w:rsid w:val="00B056AE"/>
    <w:rsid w:val="00B07EDD"/>
    <w:rsid w:val="00B11684"/>
    <w:rsid w:val="00B2681F"/>
    <w:rsid w:val="00B30B81"/>
    <w:rsid w:val="00B337A4"/>
    <w:rsid w:val="00B36E17"/>
    <w:rsid w:val="00B378A4"/>
    <w:rsid w:val="00B6586D"/>
    <w:rsid w:val="00B76D7E"/>
    <w:rsid w:val="00B87931"/>
    <w:rsid w:val="00B87B34"/>
    <w:rsid w:val="00B91F61"/>
    <w:rsid w:val="00B9548A"/>
    <w:rsid w:val="00BC38E2"/>
    <w:rsid w:val="00BD3B0A"/>
    <w:rsid w:val="00BD49AF"/>
    <w:rsid w:val="00BD7FCC"/>
    <w:rsid w:val="00BE1B48"/>
    <w:rsid w:val="00BE3005"/>
    <w:rsid w:val="00BF21EE"/>
    <w:rsid w:val="00BF33CC"/>
    <w:rsid w:val="00BF6524"/>
    <w:rsid w:val="00BF7B55"/>
    <w:rsid w:val="00C04954"/>
    <w:rsid w:val="00C2667D"/>
    <w:rsid w:val="00C32962"/>
    <w:rsid w:val="00C33AF9"/>
    <w:rsid w:val="00C35A12"/>
    <w:rsid w:val="00C5003D"/>
    <w:rsid w:val="00C6580B"/>
    <w:rsid w:val="00C75939"/>
    <w:rsid w:val="00C77A57"/>
    <w:rsid w:val="00C80725"/>
    <w:rsid w:val="00C85E3A"/>
    <w:rsid w:val="00C86641"/>
    <w:rsid w:val="00CB6423"/>
    <w:rsid w:val="00CC1644"/>
    <w:rsid w:val="00CC3FA3"/>
    <w:rsid w:val="00CC7279"/>
    <w:rsid w:val="00CD3838"/>
    <w:rsid w:val="00D04CF6"/>
    <w:rsid w:val="00D1002B"/>
    <w:rsid w:val="00D14385"/>
    <w:rsid w:val="00D333E1"/>
    <w:rsid w:val="00D4519E"/>
    <w:rsid w:val="00D47285"/>
    <w:rsid w:val="00D531E7"/>
    <w:rsid w:val="00D76826"/>
    <w:rsid w:val="00DA7481"/>
    <w:rsid w:val="00DB4176"/>
    <w:rsid w:val="00DB5C2C"/>
    <w:rsid w:val="00DC3047"/>
    <w:rsid w:val="00DD14EC"/>
    <w:rsid w:val="00DD550B"/>
    <w:rsid w:val="00DD70A6"/>
    <w:rsid w:val="00DF0667"/>
    <w:rsid w:val="00DF4158"/>
    <w:rsid w:val="00DF7161"/>
    <w:rsid w:val="00DF71F4"/>
    <w:rsid w:val="00DF7AAA"/>
    <w:rsid w:val="00DF7FBF"/>
    <w:rsid w:val="00E00ED1"/>
    <w:rsid w:val="00E05B8D"/>
    <w:rsid w:val="00E069BE"/>
    <w:rsid w:val="00E14B3D"/>
    <w:rsid w:val="00E159E3"/>
    <w:rsid w:val="00E20A97"/>
    <w:rsid w:val="00E23747"/>
    <w:rsid w:val="00E23D22"/>
    <w:rsid w:val="00E54A2C"/>
    <w:rsid w:val="00E614F0"/>
    <w:rsid w:val="00E66D9A"/>
    <w:rsid w:val="00E71FD3"/>
    <w:rsid w:val="00E77506"/>
    <w:rsid w:val="00E8545D"/>
    <w:rsid w:val="00E90B1E"/>
    <w:rsid w:val="00E9398A"/>
    <w:rsid w:val="00EA3FBA"/>
    <w:rsid w:val="00EB3DEB"/>
    <w:rsid w:val="00EB44F2"/>
    <w:rsid w:val="00EC01A4"/>
    <w:rsid w:val="00EC5E9E"/>
    <w:rsid w:val="00ED581E"/>
    <w:rsid w:val="00ED5F5E"/>
    <w:rsid w:val="00EE2521"/>
    <w:rsid w:val="00EE4CC4"/>
    <w:rsid w:val="00EF723C"/>
    <w:rsid w:val="00F038B8"/>
    <w:rsid w:val="00F06A90"/>
    <w:rsid w:val="00F10705"/>
    <w:rsid w:val="00F1257D"/>
    <w:rsid w:val="00F12628"/>
    <w:rsid w:val="00F12E7F"/>
    <w:rsid w:val="00F157E4"/>
    <w:rsid w:val="00F17E4C"/>
    <w:rsid w:val="00F33A6D"/>
    <w:rsid w:val="00F3517A"/>
    <w:rsid w:val="00F40590"/>
    <w:rsid w:val="00F421F0"/>
    <w:rsid w:val="00F434D3"/>
    <w:rsid w:val="00F50425"/>
    <w:rsid w:val="00F504C7"/>
    <w:rsid w:val="00F54A81"/>
    <w:rsid w:val="00F5589F"/>
    <w:rsid w:val="00F65808"/>
    <w:rsid w:val="00F65944"/>
    <w:rsid w:val="00F77611"/>
    <w:rsid w:val="00F86C35"/>
    <w:rsid w:val="00F93166"/>
    <w:rsid w:val="00FA235F"/>
    <w:rsid w:val="00FA4FDB"/>
    <w:rsid w:val="00FA5E86"/>
    <w:rsid w:val="00FC6D4D"/>
    <w:rsid w:val="00FD4312"/>
    <w:rsid w:val="00FD6DE6"/>
    <w:rsid w:val="00FF4886"/>
    <w:rsid w:val="00FF6EDA"/>
    <w:rsid w:val="00FF7A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8E3436"/>
  <w15:chartTrackingRefBased/>
  <w15:docId w15:val="{E70BACB1-9648-4AD8-B437-45B66A15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240" w:line="360" w:lineRule="atLeast"/>
    </w:pPr>
    <w:rPr>
      <w:rFonts w:ascii="Arial" w:hAnsi="Arial"/>
      <w:sz w:val="24"/>
    </w:rPr>
  </w:style>
  <w:style w:type="paragraph" w:styleId="berschrift1">
    <w:name w:val="heading 1"/>
    <w:basedOn w:val="Standard"/>
    <w:next w:val="Standard"/>
    <w:link w:val="berschrift1Zchn"/>
    <w:qFormat/>
    <w:pPr>
      <w:keepNext/>
      <w:jc w:val="center"/>
      <w:outlineLvl w:val="0"/>
    </w:pPr>
    <w:rPr>
      <w:b/>
    </w:rPr>
  </w:style>
  <w:style w:type="paragraph" w:styleId="berschrift2">
    <w:name w:val="heading 2"/>
    <w:basedOn w:val="Standard"/>
    <w:next w:val="Standard"/>
    <w:qFormat/>
    <w:pPr>
      <w:keepNext/>
      <w:ind w:left="709" w:hanging="709"/>
      <w:jc w:val="center"/>
      <w:outlineLvl w:val="1"/>
    </w:pPr>
    <w:rPr>
      <w:b/>
    </w:rPr>
  </w:style>
  <w:style w:type="paragraph" w:styleId="berschrift3">
    <w:name w:val="heading 3"/>
    <w:basedOn w:val="Standard"/>
    <w:next w:val="Standard"/>
    <w:link w:val="berschrift3Zchn"/>
    <w:qFormat/>
    <w:pPr>
      <w:keepNext/>
      <w:ind w:left="-1134"/>
      <w:jc w:val="center"/>
      <w:outlineLvl w:val="2"/>
    </w:pPr>
    <w:rPr>
      <w:b/>
    </w:rPr>
  </w:style>
  <w:style w:type="paragraph" w:styleId="berschrift4">
    <w:name w:val="heading 4"/>
    <w:basedOn w:val="Standard"/>
    <w:next w:val="Standard"/>
    <w:link w:val="berschrift4Zchn"/>
    <w:qFormat/>
    <w:pPr>
      <w:keepNext/>
      <w:ind w:left="-567" w:hanging="567"/>
      <w:jc w:val="center"/>
      <w:outlineLvl w:val="3"/>
    </w:pPr>
    <w:rPr>
      <w:b/>
    </w:rPr>
  </w:style>
  <w:style w:type="paragraph" w:styleId="berschrift5">
    <w:name w:val="heading 5"/>
    <w:basedOn w:val="Standard"/>
    <w:next w:val="Standard"/>
    <w:qFormat/>
    <w:pPr>
      <w:keepNext/>
      <w:ind w:left="-851"/>
      <w:jc w:val="center"/>
      <w:outlineLvl w:val="4"/>
    </w:pPr>
    <w:rPr>
      <w:b/>
    </w:rPr>
  </w:style>
  <w:style w:type="paragraph" w:styleId="berschrift6">
    <w:name w:val="heading 6"/>
    <w:basedOn w:val="Standard"/>
    <w:next w:val="Standard"/>
    <w:link w:val="berschrift6Zchn"/>
    <w:qFormat/>
    <w:pPr>
      <w:keepNext/>
      <w:ind w:left="-284"/>
      <w:jc w:val="center"/>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link w:val="Textkrper-ZeileneinzugZchn"/>
    <w:pPr>
      <w:ind w:left="709" w:hanging="709"/>
    </w:pPr>
  </w:style>
  <w:style w:type="paragraph" w:styleId="Textkrper-Einzug2">
    <w:name w:val="Body Text Indent 2"/>
    <w:basedOn w:val="Standard"/>
    <w:link w:val="Textkrper-Einzug2Zchn"/>
    <w:pPr>
      <w:ind w:left="993"/>
    </w:pPr>
  </w:style>
  <w:style w:type="paragraph" w:styleId="Textkrper-Einzug3">
    <w:name w:val="Body Text Indent 3"/>
    <w:basedOn w:val="Standard"/>
    <w:link w:val="Textkrper-Einzug3Zchn"/>
    <w:pPr>
      <w:ind w:left="993" w:hanging="284"/>
    </w:pPr>
  </w:style>
  <w:style w:type="paragraph" w:styleId="Funotentext">
    <w:name w:val="footnote text"/>
    <w:basedOn w:val="Standard"/>
    <w:link w:val="FunotentextZchn"/>
    <w:semiHidden/>
    <w:rsid w:val="00E8545D"/>
    <w:rPr>
      <w:sz w:val="20"/>
    </w:rPr>
  </w:style>
  <w:style w:type="character" w:styleId="Funotenzeichen">
    <w:name w:val="footnote reference"/>
    <w:semiHidden/>
    <w:rsid w:val="00E8545D"/>
    <w:rPr>
      <w:vertAlign w:val="superscript"/>
    </w:rPr>
  </w:style>
  <w:style w:type="character" w:customStyle="1" w:styleId="berschrift1Zchn">
    <w:name w:val="Überschrift 1 Zchn"/>
    <w:link w:val="berschrift1"/>
    <w:rsid w:val="00AE7827"/>
    <w:rPr>
      <w:rFonts w:ascii="Arial" w:hAnsi="Arial"/>
      <w:b/>
      <w:sz w:val="24"/>
    </w:rPr>
  </w:style>
  <w:style w:type="character" w:customStyle="1" w:styleId="berschrift3Zchn">
    <w:name w:val="Überschrift 3 Zchn"/>
    <w:link w:val="berschrift3"/>
    <w:rsid w:val="00AE7827"/>
    <w:rPr>
      <w:rFonts w:ascii="Arial" w:hAnsi="Arial"/>
      <w:b/>
      <w:sz w:val="24"/>
    </w:rPr>
  </w:style>
  <w:style w:type="character" w:customStyle="1" w:styleId="berschrift4Zchn">
    <w:name w:val="Überschrift 4 Zchn"/>
    <w:link w:val="berschrift4"/>
    <w:rsid w:val="00AE7827"/>
    <w:rPr>
      <w:rFonts w:ascii="Arial" w:hAnsi="Arial"/>
      <w:b/>
      <w:sz w:val="24"/>
    </w:rPr>
  </w:style>
  <w:style w:type="character" w:customStyle="1" w:styleId="berschrift6Zchn">
    <w:name w:val="Überschrift 6 Zchn"/>
    <w:link w:val="berschrift6"/>
    <w:rsid w:val="00AE7827"/>
    <w:rPr>
      <w:rFonts w:ascii="Arial" w:hAnsi="Arial"/>
      <w:b/>
      <w:sz w:val="24"/>
    </w:rPr>
  </w:style>
  <w:style w:type="character" w:customStyle="1" w:styleId="KopfzeileZchn">
    <w:name w:val="Kopfzeile Zchn"/>
    <w:link w:val="Kopfzeile"/>
    <w:rsid w:val="00AE7827"/>
    <w:rPr>
      <w:rFonts w:ascii="Arial" w:hAnsi="Arial"/>
      <w:sz w:val="24"/>
    </w:rPr>
  </w:style>
  <w:style w:type="character" w:customStyle="1" w:styleId="Textkrper-ZeileneinzugZchn">
    <w:name w:val="Textkörper-Zeileneinzug Zchn"/>
    <w:link w:val="Textkrper-Zeileneinzug"/>
    <w:rsid w:val="00AE7827"/>
    <w:rPr>
      <w:rFonts w:ascii="Arial" w:hAnsi="Arial"/>
      <w:sz w:val="24"/>
    </w:rPr>
  </w:style>
  <w:style w:type="character" w:customStyle="1" w:styleId="Textkrper-Einzug2Zchn">
    <w:name w:val="Textkörper-Einzug 2 Zchn"/>
    <w:link w:val="Textkrper-Einzug2"/>
    <w:rsid w:val="00AE7827"/>
    <w:rPr>
      <w:rFonts w:ascii="Arial" w:hAnsi="Arial"/>
      <w:sz w:val="24"/>
    </w:rPr>
  </w:style>
  <w:style w:type="character" w:customStyle="1" w:styleId="Textkrper-Einzug3Zchn">
    <w:name w:val="Textkörper-Einzug 3 Zchn"/>
    <w:link w:val="Textkrper-Einzug3"/>
    <w:rsid w:val="00AE7827"/>
    <w:rPr>
      <w:rFonts w:ascii="Arial" w:hAnsi="Arial"/>
      <w:sz w:val="24"/>
    </w:rPr>
  </w:style>
  <w:style w:type="character" w:customStyle="1" w:styleId="FunotentextZchn">
    <w:name w:val="Fußnotentext Zchn"/>
    <w:link w:val="Funotentext"/>
    <w:semiHidden/>
    <w:rsid w:val="00AE7827"/>
    <w:rPr>
      <w:rFonts w:ascii="Arial" w:hAnsi="Arial"/>
    </w:rPr>
  </w:style>
  <w:style w:type="paragraph" w:styleId="Sprechblasentext">
    <w:name w:val="Balloon Text"/>
    <w:basedOn w:val="Standard"/>
    <w:link w:val="SprechblasentextZchn"/>
    <w:rsid w:val="00ED5F5E"/>
    <w:pPr>
      <w:spacing w:after="0" w:line="240" w:lineRule="auto"/>
    </w:pPr>
    <w:rPr>
      <w:rFonts w:ascii="Tahoma" w:hAnsi="Tahoma" w:cs="Tahoma"/>
      <w:sz w:val="16"/>
      <w:szCs w:val="16"/>
    </w:rPr>
  </w:style>
  <w:style w:type="character" w:customStyle="1" w:styleId="SprechblasentextZchn">
    <w:name w:val="Sprechblasentext Zchn"/>
    <w:link w:val="Sprechblasentext"/>
    <w:rsid w:val="00ED5F5E"/>
    <w:rPr>
      <w:rFonts w:ascii="Tahoma" w:hAnsi="Tahoma" w:cs="Tahoma"/>
      <w:sz w:val="16"/>
      <w:szCs w:val="16"/>
    </w:rPr>
  </w:style>
  <w:style w:type="character" w:styleId="Kommentarzeichen">
    <w:name w:val="annotation reference"/>
    <w:rsid w:val="006C38A1"/>
    <w:rPr>
      <w:sz w:val="16"/>
      <w:szCs w:val="16"/>
    </w:rPr>
  </w:style>
  <w:style w:type="paragraph" w:styleId="Kommentartext">
    <w:name w:val="annotation text"/>
    <w:basedOn w:val="Standard"/>
    <w:link w:val="KommentartextZchn"/>
    <w:rsid w:val="006C38A1"/>
    <w:rPr>
      <w:sz w:val="20"/>
    </w:rPr>
  </w:style>
  <w:style w:type="character" w:customStyle="1" w:styleId="KommentartextZchn">
    <w:name w:val="Kommentartext Zchn"/>
    <w:link w:val="Kommentartext"/>
    <w:rsid w:val="006C38A1"/>
    <w:rPr>
      <w:rFonts w:ascii="Arial" w:hAnsi="Arial"/>
    </w:rPr>
  </w:style>
  <w:style w:type="paragraph" w:styleId="Kommentarthema">
    <w:name w:val="annotation subject"/>
    <w:basedOn w:val="Kommentartext"/>
    <w:next w:val="Kommentartext"/>
    <w:link w:val="KommentarthemaZchn"/>
    <w:rsid w:val="006C38A1"/>
    <w:rPr>
      <w:b/>
      <w:bCs/>
    </w:rPr>
  </w:style>
  <w:style w:type="character" w:customStyle="1" w:styleId="KommentarthemaZchn">
    <w:name w:val="Kommentarthema Zchn"/>
    <w:link w:val="Kommentarthema"/>
    <w:rsid w:val="006C38A1"/>
    <w:rPr>
      <w:rFonts w:ascii="Arial" w:hAnsi="Arial"/>
      <w:b/>
      <w:bCs/>
    </w:rPr>
  </w:style>
  <w:style w:type="paragraph" w:styleId="Listenabsatz">
    <w:name w:val="List Paragraph"/>
    <w:basedOn w:val="Standard"/>
    <w:uiPriority w:val="34"/>
    <w:qFormat/>
    <w:rsid w:val="00E77506"/>
    <w:pPr>
      <w:ind w:left="720"/>
      <w:contextualSpacing/>
    </w:pPr>
  </w:style>
  <w:style w:type="paragraph" w:styleId="StandardWeb">
    <w:name w:val="Normal (Web)"/>
    <w:basedOn w:val="Standard"/>
    <w:uiPriority w:val="99"/>
    <w:unhideWhenUsed/>
    <w:rsid w:val="0078750F"/>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0157">
      <w:bodyDiv w:val="1"/>
      <w:marLeft w:val="0"/>
      <w:marRight w:val="0"/>
      <w:marTop w:val="0"/>
      <w:marBottom w:val="0"/>
      <w:divBdr>
        <w:top w:val="none" w:sz="0" w:space="0" w:color="auto"/>
        <w:left w:val="none" w:sz="0" w:space="0" w:color="auto"/>
        <w:bottom w:val="none" w:sz="0" w:space="0" w:color="auto"/>
        <w:right w:val="none" w:sz="0" w:space="0" w:color="auto"/>
      </w:divBdr>
    </w:div>
    <w:div w:id="261836948">
      <w:bodyDiv w:val="1"/>
      <w:marLeft w:val="0"/>
      <w:marRight w:val="0"/>
      <w:marTop w:val="0"/>
      <w:marBottom w:val="0"/>
      <w:divBdr>
        <w:top w:val="none" w:sz="0" w:space="0" w:color="auto"/>
        <w:left w:val="none" w:sz="0" w:space="0" w:color="auto"/>
        <w:bottom w:val="none" w:sz="0" w:space="0" w:color="auto"/>
        <w:right w:val="none" w:sz="0" w:space="0" w:color="auto"/>
      </w:divBdr>
    </w:div>
    <w:div w:id="492336120">
      <w:bodyDiv w:val="1"/>
      <w:marLeft w:val="0"/>
      <w:marRight w:val="0"/>
      <w:marTop w:val="0"/>
      <w:marBottom w:val="0"/>
      <w:divBdr>
        <w:top w:val="none" w:sz="0" w:space="0" w:color="auto"/>
        <w:left w:val="none" w:sz="0" w:space="0" w:color="auto"/>
        <w:bottom w:val="none" w:sz="0" w:space="0" w:color="auto"/>
        <w:right w:val="none" w:sz="0" w:space="0" w:color="auto"/>
      </w:divBdr>
    </w:div>
    <w:div w:id="20337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10ae3599-88a2-4643-b2f5-e7e00a892631</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0772F6C7DD1ED3489E9E40D691E0429A" ma:contentTypeVersion="0" ma:contentTypeDescription="Ein neues Dokument erstellen." ma:contentTypeScope="" ma:versionID="a26bd8e0d7f07a67f382b505fab8aeb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FFD4E-56BD-4592-AFE4-89CA36064737}">
  <ds:schemaRefs>
    <ds:schemaRef ds:uri="http://www.datev.de/BSOffice/999929"/>
  </ds:schemaRefs>
</ds:datastoreItem>
</file>

<file path=customXml/itemProps2.xml><?xml version="1.0" encoding="utf-8"?>
<ds:datastoreItem xmlns:ds="http://schemas.openxmlformats.org/officeDocument/2006/customXml" ds:itemID="{CD8E6876-495D-4469-BA13-ED2676A8E0A5}">
  <ds:schemaRefs>
    <ds:schemaRef ds:uri="http://schemas.microsoft.com/sharepoint/v3/contenttype/forms"/>
  </ds:schemaRefs>
</ds:datastoreItem>
</file>

<file path=customXml/itemProps3.xml><?xml version="1.0" encoding="utf-8"?>
<ds:datastoreItem xmlns:ds="http://schemas.openxmlformats.org/officeDocument/2006/customXml" ds:itemID="{F505B52C-5F03-4F36-BF27-F331891CB8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179D8C5-7CB4-476C-B8F1-77B65F2338AA}">
  <ds:schemaRefs>
    <ds:schemaRef ds:uri="http://schemas.openxmlformats.org/officeDocument/2006/bibliography"/>
  </ds:schemaRefs>
</ds:datastoreItem>
</file>

<file path=customXml/itemProps5.xml><?xml version="1.0" encoding="utf-8"?>
<ds:datastoreItem xmlns:ds="http://schemas.openxmlformats.org/officeDocument/2006/customXml" ds:itemID="{20DB5B09-862F-4078-9781-FBBC4964F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2305</Words>
  <Characters>14525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Steuerberaterkammern NRW                             Stand: April 1996</vt:lpstr>
    </vt:vector>
  </TitlesOfParts>
  <Company>Name des Kunden</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Steuerberaterkammern NRW                             Stand: April 1996</dc:title>
  <dc:subject/>
  <dc:creator>Sebastian Rademacher</dc:creator>
  <cp:keywords/>
  <dc:description/>
  <cp:lastModifiedBy>Stumpf, Ulrich</cp:lastModifiedBy>
  <cp:revision>2</cp:revision>
  <cp:lastPrinted>2022-01-10T15:08:00Z</cp:lastPrinted>
  <dcterms:created xsi:type="dcterms:W3CDTF">2023-12-12T11:50:00Z</dcterms:created>
  <dcterms:modified xsi:type="dcterms:W3CDTF">2023-12-12T11:50:00Z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0x0101000772F6C7DD1ED3489E9E40D691E0429A</vt:lpwstr>
  </property>
</Properties>
</file>